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8DCA0" w14:textId="4B0BF01B" w:rsidR="00F038C1" w:rsidRPr="00F038C1" w:rsidRDefault="00F038C1" w:rsidP="00F038C1">
      <w:pPr>
        <w:rPr>
          <w:b/>
          <w:bCs/>
        </w:rPr>
      </w:pPr>
      <w:r w:rsidRPr="00F038C1">
        <w:rPr>
          <w:b/>
          <w:bCs/>
        </w:rPr>
        <w:t>Q&amp;A-document</w:t>
      </w:r>
    </w:p>
    <w:p w14:paraId="6CA56829" w14:textId="77777777" w:rsidR="00F038C1" w:rsidRDefault="00F038C1" w:rsidP="00F038C1"/>
    <w:p w14:paraId="3B4488B5" w14:textId="77777777" w:rsidR="00F038C1" w:rsidRPr="00F038C1" w:rsidRDefault="00F038C1" w:rsidP="00F038C1">
      <w:pPr>
        <w:rPr>
          <w:rFonts w:ascii="Calibri" w:eastAsia="Times New Roman" w:hAnsi="Calibri" w:cs="Calibri"/>
          <w:color w:val="000000"/>
          <w:sz w:val="22"/>
          <w:szCs w:val="22"/>
          <w:lang w:eastAsia="nl-NL"/>
        </w:rPr>
      </w:pPr>
      <w:r w:rsidRPr="00F038C1">
        <w:rPr>
          <w:rFonts w:ascii="Arial" w:eastAsia="Times New Roman" w:hAnsi="Arial" w:cs="Arial"/>
          <w:b/>
          <w:bCs/>
          <w:color w:val="000000"/>
          <w:sz w:val="20"/>
          <w:szCs w:val="20"/>
          <w:u w:val="single"/>
          <w:lang w:eastAsia="nl-NL"/>
        </w:rPr>
        <w:t>Onderstaand de reacties op de 1</w:t>
      </w:r>
      <w:r w:rsidRPr="00F038C1">
        <w:rPr>
          <w:rFonts w:ascii="Arial" w:eastAsia="Times New Roman" w:hAnsi="Arial" w:cs="Arial"/>
          <w:b/>
          <w:bCs/>
          <w:color w:val="000000"/>
          <w:sz w:val="20"/>
          <w:szCs w:val="20"/>
          <w:u w:val="single"/>
          <w:vertAlign w:val="superscript"/>
          <w:lang w:eastAsia="nl-NL"/>
        </w:rPr>
        <w:t>e</w:t>
      </w:r>
      <w:r w:rsidRPr="00F038C1">
        <w:rPr>
          <w:rFonts w:ascii="Arial" w:eastAsia="Times New Roman" w:hAnsi="Arial" w:cs="Arial"/>
          <w:b/>
          <w:bCs/>
          <w:color w:val="000000"/>
          <w:sz w:val="20"/>
          <w:szCs w:val="20"/>
          <w:u w:val="single"/>
          <w:lang w:eastAsia="nl-NL"/>
        </w:rPr>
        <w:t xml:space="preserve"> conceptversie. Als er staat dat iets toegevoegd of aangepast wordt, dan is dat al gebeurd in de versie die bij de stukken van de </w:t>
      </w:r>
      <w:proofErr w:type="spellStart"/>
      <w:r w:rsidRPr="00F038C1">
        <w:rPr>
          <w:rFonts w:ascii="Arial" w:eastAsia="Times New Roman" w:hAnsi="Arial" w:cs="Arial"/>
          <w:b/>
          <w:bCs/>
          <w:color w:val="000000"/>
          <w:sz w:val="20"/>
          <w:szCs w:val="20"/>
          <w:u w:val="single"/>
          <w:lang w:eastAsia="nl-NL"/>
        </w:rPr>
        <w:t>BKaL</w:t>
      </w:r>
      <w:proofErr w:type="spellEnd"/>
      <w:r w:rsidRPr="00F038C1">
        <w:rPr>
          <w:rFonts w:ascii="Arial" w:eastAsia="Times New Roman" w:hAnsi="Arial" w:cs="Arial"/>
          <w:b/>
          <w:bCs/>
          <w:color w:val="000000"/>
          <w:sz w:val="20"/>
          <w:szCs w:val="20"/>
          <w:u w:val="single"/>
          <w:lang w:eastAsia="nl-NL"/>
        </w:rPr>
        <w:t xml:space="preserve"> zat (zie ook de bijlagen bij deze mail):</w:t>
      </w:r>
    </w:p>
    <w:p w14:paraId="4F3D4E8F" w14:textId="77777777" w:rsidR="00F038C1" w:rsidRPr="00F038C1" w:rsidRDefault="00F038C1" w:rsidP="00F038C1">
      <w:pPr>
        <w:rPr>
          <w:rFonts w:ascii="Calibri" w:eastAsia="Times New Roman" w:hAnsi="Calibri" w:cs="Calibri"/>
          <w:color w:val="000000"/>
          <w:sz w:val="22"/>
          <w:szCs w:val="22"/>
          <w:lang w:eastAsia="nl-NL"/>
        </w:rPr>
      </w:pPr>
      <w:r w:rsidRPr="00F038C1">
        <w:rPr>
          <w:rFonts w:ascii="Arial" w:eastAsia="Times New Roman" w:hAnsi="Arial" w:cs="Arial"/>
          <w:color w:val="000000"/>
          <w:sz w:val="20"/>
          <w:szCs w:val="20"/>
          <w:lang w:eastAsia="nl-NL"/>
        </w:rPr>
        <w:t> </w:t>
      </w:r>
    </w:p>
    <w:p w14:paraId="159CBC7F" w14:textId="46A3D833" w:rsidR="00F038C1" w:rsidRDefault="00F038C1" w:rsidP="00F038C1"/>
    <w:p w14:paraId="38F8049E" w14:textId="77777777" w:rsidR="00F038C1" w:rsidRDefault="00F038C1" w:rsidP="00F038C1">
      <w:r>
        <w:t>Reactie WBL</w:t>
      </w:r>
    </w:p>
    <w:p w14:paraId="1DD5E8E2" w14:textId="77777777" w:rsidR="00F038C1" w:rsidRDefault="00F038C1" w:rsidP="00F038C1">
      <w:r>
        <w:t>Verzoek is om ook WBL partij te maken bij de intentieverklaring omdat de inzet van gezuiverd water (effluent) een mogelijke maatregel kan zijn in de aanpak van droogte.</w:t>
      </w:r>
    </w:p>
    <w:p w14:paraId="3253E485" w14:textId="77777777" w:rsidR="00F038C1" w:rsidRDefault="00F038C1" w:rsidP="00F038C1">
      <w:r>
        <w:t xml:space="preserve"> </w:t>
      </w:r>
    </w:p>
    <w:p w14:paraId="5772818E" w14:textId="77777777" w:rsidR="00F038C1" w:rsidRDefault="00F038C1" w:rsidP="00F038C1">
      <w:r>
        <w:t>Antwoord:</w:t>
      </w:r>
    </w:p>
    <w:p w14:paraId="5EE10A1D" w14:textId="77777777" w:rsidR="00F038C1" w:rsidRDefault="00F038C1" w:rsidP="00F038C1">
      <w:r>
        <w:t>Terechte opmerking (zie ook Verordening (EU) 2020/741 over hergebruik RWZI-effluent). WBL is toegevoegd aan bijgesloten aangepaste intentieverklaring.</w:t>
      </w:r>
    </w:p>
    <w:p w14:paraId="7A4DD917" w14:textId="77777777" w:rsidR="00F038C1" w:rsidRDefault="00F038C1" w:rsidP="00F038C1">
      <w:r>
        <w:t xml:space="preserve"> </w:t>
      </w:r>
    </w:p>
    <w:p w14:paraId="178E5067" w14:textId="77777777" w:rsidR="00F038C1" w:rsidRDefault="00F038C1" w:rsidP="00F038C1">
      <w:r>
        <w:t xml:space="preserve"> </w:t>
      </w:r>
    </w:p>
    <w:p w14:paraId="49AF3B6F" w14:textId="77777777" w:rsidR="00F038C1" w:rsidRDefault="00F038C1" w:rsidP="00F038C1">
      <w:r>
        <w:t>Reactie gemeente Venlo</w:t>
      </w:r>
    </w:p>
    <w:p w14:paraId="6287FE1E" w14:textId="77777777" w:rsidR="00F038C1" w:rsidRDefault="00F038C1" w:rsidP="00F038C1">
      <w:r>
        <w:t>1. Als het de bedoeling is dat alle Limburgse gemeenten deze intentieverklaring Voldoende Zoetwater dienen te ondertekenen moet rekening worden gehouden met de proceduretijd, nodig voor besluitvorming in B&amp;W.</w:t>
      </w:r>
    </w:p>
    <w:p w14:paraId="162CBB37" w14:textId="77777777" w:rsidR="00F038C1" w:rsidRDefault="00F038C1" w:rsidP="00F038C1">
      <w:r>
        <w:t>2. Niet duidelijk is wat precies de rol van gemeenten is.</w:t>
      </w:r>
    </w:p>
    <w:p w14:paraId="4D16D930" w14:textId="77777777" w:rsidR="00F038C1" w:rsidRDefault="00F038C1" w:rsidP="00F038C1">
      <w:r>
        <w:t xml:space="preserve"> </w:t>
      </w:r>
    </w:p>
    <w:p w14:paraId="0096E6B9" w14:textId="77777777" w:rsidR="00F038C1" w:rsidRDefault="00F038C1" w:rsidP="00F038C1">
      <w:r>
        <w:t xml:space="preserve">Antwoord:  </w:t>
      </w:r>
    </w:p>
    <w:p w14:paraId="381E0A58" w14:textId="77777777" w:rsidR="00F038C1" w:rsidRDefault="00F038C1" w:rsidP="00F038C1">
      <w:r>
        <w:t xml:space="preserve">1. In de </w:t>
      </w:r>
      <w:proofErr w:type="spellStart"/>
      <w:r>
        <w:t>BKaL</w:t>
      </w:r>
      <w:proofErr w:type="spellEnd"/>
      <w:r>
        <w:t xml:space="preserve"> van 29 september is onder meer het voorgestelde tijdpad besproken. De bestuurders hebben aangegeven dat het haalbaar is om de intentieverklaring in de volgende vergadering van de </w:t>
      </w:r>
      <w:proofErr w:type="spellStart"/>
      <w:r>
        <w:t>BKaL</w:t>
      </w:r>
      <w:proofErr w:type="spellEnd"/>
      <w:r>
        <w:t xml:space="preserve"> op 17 november te ondertekenen.</w:t>
      </w:r>
    </w:p>
    <w:p w14:paraId="737FA237" w14:textId="77777777" w:rsidR="00F038C1" w:rsidRDefault="00F038C1" w:rsidP="00F038C1">
      <w:r>
        <w:t>2. Deelname aan de intentieverklaring houdt enkel een commitment in aan het proces, dus het samen ontwikkelen van een effectieve aanpak van droogte. In dat proces zal duidelijk worden wie welke maatregelen kan en wil nemen, waaromtrent afspraken zijn te maken in een toekomstig convenant. Voor gemeenten valt te denken aan maatregelen in het kader van het rioleringsbeheer (afkoppelen en hergebruik of infiltreren hemelwater) of inrichting en beheer van de openbare ruimte.</w:t>
      </w:r>
    </w:p>
    <w:p w14:paraId="027F11E5" w14:textId="77777777" w:rsidR="00F038C1" w:rsidRDefault="00F038C1" w:rsidP="00F038C1">
      <w:r>
        <w:t xml:space="preserve"> </w:t>
      </w:r>
    </w:p>
    <w:p w14:paraId="5FDE1FAF" w14:textId="77777777" w:rsidR="00F038C1" w:rsidRPr="00F038C1" w:rsidRDefault="00F038C1" w:rsidP="00F038C1">
      <w:pPr>
        <w:rPr>
          <w:rFonts w:cstheme="minorHAnsi"/>
        </w:rPr>
      </w:pPr>
      <w:r>
        <w:t>R</w:t>
      </w:r>
      <w:r w:rsidRPr="00F038C1">
        <w:rPr>
          <w:rFonts w:cstheme="minorHAnsi"/>
        </w:rPr>
        <w:t>eactie regio Parkstad</w:t>
      </w:r>
    </w:p>
    <w:p w14:paraId="67725DD5" w14:textId="1E9EA1B8"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Wat is de juridische implicatie van de intentieverklaring? Wat als een gemeente niet tekent?</w:t>
      </w:r>
    </w:p>
    <w:p w14:paraId="29869C62" w14:textId="3108458C"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W</w:t>
      </w:r>
      <w:r w:rsidRPr="00F038C1">
        <w:rPr>
          <w:rFonts w:asciiTheme="minorHAnsi" w:hAnsiTheme="minorHAnsi" w:cstheme="minorHAnsi"/>
        </w:rPr>
        <w:t>at zijn eventuele financiële gevolgen uit deze intentie?</w:t>
      </w:r>
    </w:p>
    <w:p w14:paraId="2C2A1393" w14:textId="7B823136"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W</w:t>
      </w:r>
      <w:r w:rsidRPr="00F038C1">
        <w:rPr>
          <w:rFonts w:asciiTheme="minorHAnsi" w:hAnsiTheme="minorHAnsi" w:cstheme="minorHAnsi"/>
        </w:rPr>
        <w:t>aarom zijn alleen droogte en verdroging en niet ook hitte en wateroverlast genoemd in de intentieverklaring?</w:t>
      </w:r>
    </w:p>
    <w:p w14:paraId="653DBC2D" w14:textId="4CA6D78F"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1 Doelstelling: Ik zou het hebben over de schadelijke gevolgen van klimaatverandering (en in de overwegingen aangeven dat het gaat om hitte, droogte/ verdroging en wateroverlast). Het gaat hier immers over waterbeschikbaarheid, concreet de beschikbaarheid van (kwalitatief goed) zoet (drink)water. De term ‘schoon’ is, zoals ter vergadering werd opgemerkt, niet adequaat.</w:t>
      </w:r>
    </w:p>
    <w:p w14:paraId="0C68F905" w14:textId="64750F7E"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 xml:space="preserve">Art. 3 lid 1: Hier wordt ineens gesproken over een droogtestrategie. Droogte is, zoals eerder opgemerkt, niet de enige factor waarmee rekening gehouden moet worden in </w:t>
      </w:r>
      <w:r w:rsidRPr="00F038C1">
        <w:rPr>
          <w:rFonts w:asciiTheme="minorHAnsi" w:hAnsiTheme="minorHAnsi" w:cstheme="minorHAnsi"/>
        </w:rPr>
        <w:lastRenderedPageBreak/>
        <w:t>het kader van de waterbeschikbaarheid. Maakt een droogtestrategie geen deel uit van een klimaatadaptatiestrategie?</w:t>
      </w:r>
    </w:p>
    <w:p w14:paraId="3225F328" w14:textId="57EC9BA5"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4 lid 4 en 5: de hier aangeduide bijlage ontbreekt.</w:t>
      </w:r>
    </w:p>
    <w:p w14:paraId="74EE242A" w14:textId="37FEF135"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6: Duur intentieovereenkomst: Waar is de intentieverklaring een overeenkomst geworden?</w:t>
      </w:r>
    </w:p>
    <w:p w14:paraId="6EEE48E7" w14:textId="06CF3EFC"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7: idem.</w:t>
      </w:r>
    </w:p>
    <w:p w14:paraId="466FCA9E" w14:textId="41EACEF4"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8: Een overeenkomst moet je eventueel kunnen beëindigen, een verklaring niet. Als we het hier over een verklaring hebben, kan art. 8 vervallen.</w:t>
      </w:r>
    </w:p>
    <w:p w14:paraId="49BCDD40" w14:textId="5C8469FB"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Ook in art. 9 wordt over een overeenkomst gesproken.</w:t>
      </w:r>
    </w:p>
    <w:p w14:paraId="6D80AF86" w14:textId="5AF8EB71" w:rsidR="00F038C1" w:rsidRPr="00F038C1" w:rsidRDefault="00F038C1" w:rsidP="00F038C1">
      <w:pPr>
        <w:pStyle w:val="Lijstalinea"/>
        <w:numPr>
          <w:ilvl w:val="0"/>
          <w:numId w:val="5"/>
        </w:numPr>
        <w:rPr>
          <w:rFonts w:asciiTheme="minorHAnsi" w:hAnsiTheme="minorHAnsi" w:cstheme="minorHAnsi"/>
        </w:rPr>
      </w:pPr>
      <w:r w:rsidRPr="00F038C1">
        <w:rPr>
          <w:rFonts w:asciiTheme="minorHAnsi" w:hAnsiTheme="minorHAnsi" w:cstheme="minorHAnsi"/>
        </w:rPr>
        <w:t>Art 10: a. overeenkomst en b. verklaring. Wat is het nu?</w:t>
      </w:r>
    </w:p>
    <w:p w14:paraId="7CDA8842" w14:textId="77777777" w:rsidR="00F038C1" w:rsidRPr="00F038C1" w:rsidRDefault="00F038C1" w:rsidP="00F038C1">
      <w:pPr>
        <w:rPr>
          <w:rFonts w:cstheme="minorHAnsi"/>
        </w:rPr>
      </w:pPr>
      <w:r w:rsidRPr="00F038C1">
        <w:rPr>
          <w:rFonts w:cstheme="minorHAnsi"/>
        </w:rPr>
        <w:t xml:space="preserve"> </w:t>
      </w:r>
    </w:p>
    <w:p w14:paraId="66AA516C" w14:textId="77777777" w:rsidR="00F038C1" w:rsidRPr="00F038C1" w:rsidRDefault="00F038C1" w:rsidP="00F038C1">
      <w:pPr>
        <w:rPr>
          <w:rFonts w:cstheme="minorHAnsi"/>
        </w:rPr>
      </w:pPr>
      <w:r w:rsidRPr="00F038C1">
        <w:rPr>
          <w:rFonts w:cstheme="minorHAnsi"/>
        </w:rPr>
        <w:t>Antwoord:</w:t>
      </w:r>
    </w:p>
    <w:p w14:paraId="2F028968" w14:textId="266B9795"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 xml:space="preserve">Er zijn geen juridische gevolgen verbonden aan het wel of niet tekenen van de intentieverklaring. Partijen zijn niet juridisch verplicht tot deelname. De afspraken in </w:t>
      </w:r>
      <w:proofErr w:type="gramStart"/>
      <w:r w:rsidRPr="00F038C1">
        <w:rPr>
          <w:rFonts w:asciiTheme="minorHAnsi" w:hAnsiTheme="minorHAnsi" w:cstheme="minorHAnsi"/>
        </w:rPr>
        <w:t>de</w:t>
      </w:r>
      <w:proofErr w:type="gramEnd"/>
      <w:r w:rsidRPr="00F038C1">
        <w:rPr>
          <w:rFonts w:asciiTheme="minorHAnsi" w:hAnsiTheme="minorHAnsi" w:cstheme="minorHAnsi"/>
        </w:rPr>
        <w:t xml:space="preserve"> intentieverklaring zijn niet in rechte afdwingbaar. Bedoeling is dat partijen zich inhoudelijk en bestuurlijk committeren aan een proces waarin samen van een effectieve structurele aanpak van droogte wordt ontwikkeld. </w:t>
      </w:r>
    </w:p>
    <w:p w14:paraId="0F5E2736" w14:textId="16AA08CD"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 xml:space="preserve">Er zijn geen financiële gevolgen verbonden aan deelname </w:t>
      </w:r>
      <w:proofErr w:type="gramStart"/>
      <w:r w:rsidRPr="00F038C1">
        <w:rPr>
          <w:rFonts w:asciiTheme="minorHAnsi" w:hAnsiTheme="minorHAnsi" w:cstheme="minorHAnsi"/>
        </w:rPr>
        <w:t>aan  de</w:t>
      </w:r>
      <w:proofErr w:type="gramEnd"/>
      <w:r w:rsidRPr="00F038C1">
        <w:rPr>
          <w:rFonts w:asciiTheme="minorHAnsi" w:hAnsiTheme="minorHAnsi" w:cstheme="minorHAnsi"/>
        </w:rPr>
        <w:t xml:space="preserve"> intentieverklaring. Het gaat over meedenken over de aanpak als bedoeld onder 1. Indien blijkt </w:t>
      </w:r>
      <w:proofErr w:type="gramStart"/>
      <w:r w:rsidRPr="00F038C1">
        <w:rPr>
          <w:rFonts w:asciiTheme="minorHAnsi" w:hAnsiTheme="minorHAnsi" w:cstheme="minorHAnsi"/>
        </w:rPr>
        <w:t>dat  in</w:t>
      </w:r>
      <w:proofErr w:type="gramEnd"/>
      <w:r w:rsidRPr="00F038C1">
        <w:rPr>
          <w:rFonts w:asciiTheme="minorHAnsi" w:hAnsiTheme="minorHAnsi" w:cstheme="minorHAnsi"/>
        </w:rPr>
        <w:t xml:space="preserve"> dat proces kosten moeten worden gemaakt, bijv. voor de gezamenlijke inhuur van externe partijen zijn daarover nieuwe afspraken tussen partijen te maken.  Afspraken over maatregelen en de kosten daarvan komen pas aan de orde in het toekomstige convenant.</w:t>
      </w:r>
    </w:p>
    <w:p w14:paraId="2A130096" w14:textId="2C853837"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Voor wateroverlast</w:t>
      </w:r>
      <w:r w:rsidRPr="00F038C1">
        <w:rPr>
          <w:rFonts w:asciiTheme="minorHAnsi" w:hAnsiTheme="minorHAnsi" w:cstheme="minorHAnsi"/>
        </w:rPr>
        <w:t xml:space="preserve"> loopt een apart proces, met specifiek gealloceerde rijksmiddelen. Er is natuurlijk een bepaalde mate van samenhang met de droogte-aanpak (afkoppelen kan wateroverlast voorkomen en grondwater voeden) maar aanpak wateroverlast heeft een duidelijk ander doel dan aanpak droogte.  Hetzelfde geldt voor hittestress: er is </w:t>
      </w:r>
      <w:r w:rsidRPr="00F038C1">
        <w:rPr>
          <w:rFonts w:asciiTheme="minorHAnsi" w:hAnsiTheme="minorHAnsi" w:cstheme="minorHAnsi"/>
        </w:rPr>
        <w:t>enige samenhang</w:t>
      </w:r>
      <w:r w:rsidRPr="00F038C1">
        <w:rPr>
          <w:rFonts w:asciiTheme="minorHAnsi" w:hAnsiTheme="minorHAnsi" w:cstheme="minorHAnsi"/>
        </w:rPr>
        <w:t xml:space="preserve"> met de droogte-aanpak (bv. afgekoppeld water in een wadi leiden, verhardingen vervangen door groen t.b.v. infiltratie) maar ook hier in het doel duidelijk verschillend.</w:t>
      </w:r>
    </w:p>
    <w:p w14:paraId="360A3649" w14:textId="3A5C6905"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Zie onder 3</w:t>
      </w:r>
    </w:p>
    <w:p w14:paraId="40D16669" w14:textId="21A15EA0"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Zie onder 3</w:t>
      </w:r>
    </w:p>
    <w:p w14:paraId="3C52A675" w14:textId="2A14DCC8"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 xml:space="preserve">Bedoelde bijlage is het tijdschema, zoals geagendeerd voor het </w:t>
      </w:r>
      <w:proofErr w:type="spellStart"/>
      <w:r w:rsidRPr="00F038C1">
        <w:rPr>
          <w:rFonts w:asciiTheme="minorHAnsi" w:hAnsiTheme="minorHAnsi" w:cstheme="minorHAnsi"/>
        </w:rPr>
        <w:t>AKaL</w:t>
      </w:r>
      <w:proofErr w:type="spellEnd"/>
    </w:p>
    <w:p w14:paraId="49C8A7F3" w14:textId="0E8A0FFD"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 xml:space="preserve">Juridisch is de benaming –overeenkomst, intentieverklaring, </w:t>
      </w:r>
      <w:r w:rsidRPr="00F038C1">
        <w:rPr>
          <w:rFonts w:asciiTheme="minorHAnsi" w:hAnsiTheme="minorHAnsi" w:cstheme="minorHAnsi"/>
        </w:rPr>
        <w:t>intentieovereenkomst of</w:t>
      </w:r>
      <w:r w:rsidRPr="00F038C1">
        <w:rPr>
          <w:rFonts w:asciiTheme="minorHAnsi" w:hAnsiTheme="minorHAnsi" w:cstheme="minorHAnsi"/>
        </w:rPr>
        <w:t xml:space="preserve"> convenant- niet relevant omdat de inhoud van de afspraken bepalend is. Zoals in art. 10 vermeld zijn de te maken afspraken niet in rechte afdwingbaar. Om verwarring te voorkomen </w:t>
      </w:r>
      <w:r w:rsidRPr="00F038C1">
        <w:rPr>
          <w:rFonts w:asciiTheme="minorHAnsi" w:hAnsiTheme="minorHAnsi" w:cstheme="minorHAnsi"/>
        </w:rPr>
        <w:t>is in</w:t>
      </w:r>
      <w:r w:rsidRPr="00F038C1">
        <w:rPr>
          <w:rFonts w:asciiTheme="minorHAnsi" w:hAnsiTheme="minorHAnsi" w:cstheme="minorHAnsi"/>
        </w:rPr>
        <w:t xml:space="preserve"> bijgesloten aangepaste intentieverklaring consequent de term intentieverklaring gebruikt.</w:t>
      </w:r>
    </w:p>
    <w:p w14:paraId="31E00020" w14:textId="4084F019"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Zie onder 7.</w:t>
      </w:r>
    </w:p>
    <w:p w14:paraId="7971A636" w14:textId="391C1CC1"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 xml:space="preserve">Zie onder 7: benaming is juridisch niet relevant. Afspraken over tussentijdse beëindiging (art. 8) zijn –ondanks het feit dat de intentieverklaring niet in rechte </w:t>
      </w:r>
      <w:proofErr w:type="gramStart"/>
      <w:r w:rsidRPr="00F038C1">
        <w:rPr>
          <w:rFonts w:asciiTheme="minorHAnsi" w:hAnsiTheme="minorHAnsi" w:cstheme="minorHAnsi"/>
        </w:rPr>
        <w:t>afdwingvaar</w:t>
      </w:r>
      <w:proofErr w:type="gramEnd"/>
      <w:r w:rsidRPr="00F038C1">
        <w:rPr>
          <w:rFonts w:asciiTheme="minorHAnsi" w:hAnsiTheme="minorHAnsi" w:cstheme="minorHAnsi"/>
        </w:rPr>
        <w:t xml:space="preserve"> is- opgenomen om duidelijk te maken dat een partij ook inhoudelijk en bestuurlijk de mogelijkheid heeft om deelname te beëindigen.</w:t>
      </w:r>
    </w:p>
    <w:p w14:paraId="1802569D" w14:textId="3D9D4493"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Zie onder 7.</w:t>
      </w:r>
    </w:p>
    <w:p w14:paraId="2CC17537" w14:textId="0DC9FD33" w:rsidR="00F038C1" w:rsidRPr="00F038C1" w:rsidRDefault="00F038C1" w:rsidP="00F038C1">
      <w:pPr>
        <w:pStyle w:val="Lijstalinea"/>
        <w:numPr>
          <w:ilvl w:val="0"/>
          <w:numId w:val="6"/>
        </w:numPr>
        <w:rPr>
          <w:rFonts w:asciiTheme="minorHAnsi" w:hAnsiTheme="minorHAnsi" w:cstheme="minorHAnsi"/>
        </w:rPr>
      </w:pPr>
      <w:r w:rsidRPr="00F038C1">
        <w:rPr>
          <w:rFonts w:asciiTheme="minorHAnsi" w:hAnsiTheme="minorHAnsi" w:cstheme="minorHAnsi"/>
        </w:rPr>
        <w:t>Zie onder 7.</w:t>
      </w:r>
    </w:p>
    <w:p w14:paraId="14BA90F4" w14:textId="77777777" w:rsidR="00F038C1" w:rsidRPr="00F038C1" w:rsidRDefault="00F038C1" w:rsidP="00F038C1">
      <w:pPr>
        <w:rPr>
          <w:rFonts w:cstheme="minorHAnsi"/>
        </w:rPr>
      </w:pPr>
      <w:r w:rsidRPr="00F038C1">
        <w:rPr>
          <w:rFonts w:cstheme="minorHAnsi"/>
        </w:rPr>
        <w:lastRenderedPageBreak/>
        <w:t xml:space="preserve"> </w:t>
      </w:r>
    </w:p>
    <w:p w14:paraId="5457AF8A" w14:textId="77777777" w:rsidR="00F038C1" w:rsidRPr="00291EFF" w:rsidRDefault="00F038C1" w:rsidP="00F038C1">
      <w:pPr>
        <w:rPr>
          <w:rFonts w:cstheme="minorHAnsi"/>
        </w:rPr>
      </w:pPr>
      <w:r w:rsidRPr="00291EFF">
        <w:rPr>
          <w:rFonts w:cstheme="minorHAnsi"/>
        </w:rPr>
        <w:t>Reactie gemeente Maastricht</w:t>
      </w:r>
    </w:p>
    <w:p w14:paraId="42F6253D" w14:textId="5F7C34F8" w:rsidR="00F038C1" w:rsidRPr="00291EFF" w:rsidRDefault="00F038C1" w:rsidP="00291EFF">
      <w:pPr>
        <w:pStyle w:val="Lijstalinea"/>
        <w:numPr>
          <w:ilvl w:val="0"/>
          <w:numId w:val="7"/>
        </w:numPr>
        <w:rPr>
          <w:rFonts w:asciiTheme="minorHAnsi" w:hAnsiTheme="minorHAnsi" w:cstheme="minorHAnsi"/>
        </w:rPr>
      </w:pPr>
      <w:r w:rsidRPr="00291EFF">
        <w:rPr>
          <w:rFonts w:asciiTheme="minorHAnsi" w:hAnsiTheme="minorHAnsi" w:cstheme="minorHAnsi"/>
        </w:rPr>
        <w:t>Waarom zijn alleen droogte en verdroging en niet ook hitte en wateroverlast genoemd in de intentieverklaring?</w:t>
      </w:r>
    </w:p>
    <w:p w14:paraId="77FF6268" w14:textId="54F4FCCC" w:rsidR="00F038C1" w:rsidRPr="00291EFF" w:rsidRDefault="00F038C1" w:rsidP="00291EFF">
      <w:pPr>
        <w:pStyle w:val="Lijstalinea"/>
        <w:numPr>
          <w:ilvl w:val="0"/>
          <w:numId w:val="7"/>
        </w:numPr>
        <w:rPr>
          <w:rFonts w:asciiTheme="minorHAnsi" w:hAnsiTheme="minorHAnsi" w:cstheme="minorHAnsi"/>
        </w:rPr>
      </w:pPr>
      <w:r w:rsidRPr="00291EFF">
        <w:rPr>
          <w:rFonts w:asciiTheme="minorHAnsi" w:hAnsiTheme="minorHAnsi" w:cstheme="minorHAnsi"/>
        </w:rPr>
        <w:t xml:space="preserve">Wij zijn als gemeente al verder met de aanpak van de problematiek van de klimaatverandering via onze klimaatadaptatiestrategie. Daarmee lopen wij al vooruit op deze plannen en zelfs nog verder dan dat. Met deze verklaring lijkt het alsof wij nu een stapje </w:t>
      </w:r>
      <w:r w:rsidRPr="00291EFF">
        <w:rPr>
          <w:rFonts w:asciiTheme="minorHAnsi" w:hAnsiTheme="minorHAnsi" w:cstheme="minorHAnsi"/>
        </w:rPr>
        <w:t>terugzetten</w:t>
      </w:r>
      <w:r w:rsidRPr="00291EFF">
        <w:rPr>
          <w:rFonts w:asciiTheme="minorHAnsi" w:hAnsiTheme="minorHAnsi" w:cstheme="minorHAnsi"/>
        </w:rPr>
        <w:t>.</w:t>
      </w:r>
    </w:p>
    <w:p w14:paraId="1B6F3A67" w14:textId="77777777" w:rsidR="00F038C1" w:rsidRPr="00291EFF" w:rsidRDefault="00F038C1" w:rsidP="00F038C1">
      <w:pPr>
        <w:rPr>
          <w:rFonts w:cstheme="minorHAnsi"/>
        </w:rPr>
      </w:pPr>
      <w:r w:rsidRPr="00291EFF">
        <w:rPr>
          <w:rFonts w:cstheme="minorHAnsi"/>
        </w:rPr>
        <w:t xml:space="preserve"> </w:t>
      </w:r>
    </w:p>
    <w:p w14:paraId="15203665" w14:textId="77777777" w:rsidR="00F038C1" w:rsidRPr="00291EFF" w:rsidRDefault="00F038C1" w:rsidP="00F038C1">
      <w:pPr>
        <w:rPr>
          <w:rFonts w:cstheme="minorHAnsi"/>
        </w:rPr>
      </w:pPr>
      <w:r w:rsidRPr="00291EFF">
        <w:rPr>
          <w:rFonts w:cstheme="minorHAnsi"/>
        </w:rPr>
        <w:t>Antwoord:</w:t>
      </w:r>
    </w:p>
    <w:p w14:paraId="0FD38448" w14:textId="658E38F4" w:rsidR="00F038C1" w:rsidRPr="00291EFF" w:rsidRDefault="00F038C1" w:rsidP="00291EFF">
      <w:pPr>
        <w:pStyle w:val="Lijstalinea"/>
        <w:numPr>
          <w:ilvl w:val="0"/>
          <w:numId w:val="8"/>
        </w:numPr>
        <w:rPr>
          <w:rFonts w:asciiTheme="minorHAnsi" w:hAnsiTheme="minorHAnsi" w:cstheme="minorHAnsi"/>
        </w:rPr>
      </w:pPr>
      <w:r w:rsidRPr="00291EFF">
        <w:rPr>
          <w:rFonts w:asciiTheme="minorHAnsi" w:hAnsiTheme="minorHAnsi" w:cstheme="minorHAnsi"/>
        </w:rPr>
        <w:t>Zie hiervoor, antwoord op reactie regio Parkstad.</w:t>
      </w:r>
    </w:p>
    <w:p w14:paraId="40866B7D" w14:textId="29155EB4" w:rsidR="00F038C1" w:rsidRPr="00291EFF" w:rsidRDefault="00F038C1" w:rsidP="00291EFF">
      <w:pPr>
        <w:pStyle w:val="Lijstalinea"/>
        <w:numPr>
          <w:ilvl w:val="0"/>
          <w:numId w:val="8"/>
        </w:numPr>
        <w:rPr>
          <w:rFonts w:asciiTheme="minorHAnsi" w:hAnsiTheme="minorHAnsi" w:cstheme="minorHAnsi"/>
        </w:rPr>
      </w:pPr>
      <w:r w:rsidRPr="00291EFF">
        <w:rPr>
          <w:rFonts w:asciiTheme="minorHAnsi" w:hAnsiTheme="minorHAnsi" w:cstheme="minorHAnsi"/>
        </w:rPr>
        <w:t>De deelname is zeker geen stap terug en de gemeente moet vooral ook doorgaan met de plannen die zij aan het opstellen en uitvoeren is. Wij zijn blij met koplopers. Het gaat er ons echter om alle partijen in Limburg hierin mee te nemen en afspraken te maken voor de hele provincie. In dat proces maken wij graag gebruik van de ervaringen van koplopers om samen anderen te inspireren.</w:t>
      </w:r>
    </w:p>
    <w:p w14:paraId="7FD67020" w14:textId="77777777" w:rsidR="00F038C1" w:rsidRPr="00291EFF" w:rsidRDefault="00F038C1" w:rsidP="00F038C1">
      <w:pPr>
        <w:rPr>
          <w:rFonts w:cstheme="minorHAnsi"/>
        </w:rPr>
      </w:pPr>
      <w:r w:rsidRPr="00291EFF">
        <w:rPr>
          <w:rFonts w:cstheme="minorHAnsi"/>
        </w:rPr>
        <w:t xml:space="preserve"> </w:t>
      </w:r>
    </w:p>
    <w:p w14:paraId="60987408" w14:textId="77777777" w:rsidR="00F038C1" w:rsidRPr="00291EFF" w:rsidRDefault="00F038C1" w:rsidP="00F038C1">
      <w:pPr>
        <w:rPr>
          <w:rFonts w:cstheme="minorHAnsi"/>
        </w:rPr>
      </w:pPr>
      <w:r w:rsidRPr="00291EFF">
        <w:rPr>
          <w:rFonts w:cstheme="minorHAnsi"/>
        </w:rPr>
        <w:t>Reactie provincie Limburg</w:t>
      </w:r>
    </w:p>
    <w:p w14:paraId="53A85336" w14:textId="37A85501" w:rsidR="00F038C1" w:rsidRDefault="00F038C1" w:rsidP="00F038C1">
      <w:r>
        <w:t>De intentieverklaring ziet vooral op het ontwikkelen van een structurele aanpak van de droogte, af te ronden in 2025.  In art. 4, 2e lid, is opgenomen dat het mogelijk is om al eerder afspraken te kunnen maken over tijdelijke maatregelen die kunnen worden ingezet in extreem droge situaties.  De situatie in afgelopen zomer benadrukt het belang van dergelijke tijdelijke maatregelen. Voorstel is daarom om in genoemd artikel niet slechts de mogelijkheid maar de ambitie uit te spreken om afspraken te maken over bedoelde tijdelijke maatregelen.</w:t>
      </w:r>
    </w:p>
    <w:p w14:paraId="7B8D2591" w14:textId="77777777" w:rsidR="00F038C1" w:rsidRDefault="00F038C1" w:rsidP="00F038C1">
      <w:r>
        <w:t xml:space="preserve"> </w:t>
      </w:r>
    </w:p>
    <w:p w14:paraId="70E71B8B" w14:textId="77777777" w:rsidR="00F038C1" w:rsidRDefault="00F038C1" w:rsidP="00F038C1">
      <w:r>
        <w:t>Antwoord:</w:t>
      </w:r>
    </w:p>
    <w:p w14:paraId="6D1884AD" w14:textId="77777777" w:rsidR="00F038C1" w:rsidRDefault="00F038C1" w:rsidP="00F038C1">
      <w:r>
        <w:t>Mee eens. Art.4, 2e lid is aangepast in bijgesloten intentieverklaring.</w:t>
      </w:r>
    </w:p>
    <w:p w14:paraId="7CBEFD05" w14:textId="77777777" w:rsidR="00D82B16" w:rsidRDefault="00D82B16"/>
    <w:sectPr w:rsidR="00D82B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5153"/>
    <w:multiLevelType w:val="hybridMultilevel"/>
    <w:tmpl w:val="4AC27A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0A4D90"/>
    <w:multiLevelType w:val="hybridMultilevel"/>
    <w:tmpl w:val="F802EB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A523966"/>
    <w:multiLevelType w:val="multilevel"/>
    <w:tmpl w:val="95F2D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351F99"/>
    <w:multiLevelType w:val="hybridMultilevel"/>
    <w:tmpl w:val="2A9AC6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82C0092"/>
    <w:multiLevelType w:val="hybridMultilevel"/>
    <w:tmpl w:val="E5DCB0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F0170E9"/>
    <w:multiLevelType w:val="multilevel"/>
    <w:tmpl w:val="C228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9E658F"/>
    <w:multiLevelType w:val="multilevel"/>
    <w:tmpl w:val="CA663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674C0"/>
    <w:multiLevelType w:val="multilevel"/>
    <w:tmpl w:val="7144D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1797714">
    <w:abstractNumId w:val="2"/>
  </w:num>
  <w:num w:numId="2" w16cid:durableId="507449001">
    <w:abstractNumId w:val="7"/>
  </w:num>
  <w:num w:numId="3" w16cid:durableId="528031196">
    <w:abstractNumId w:val="6"/>
  </w:num>
  <w:num w:numId="4" w16cid:durableId="1021518634">
    <w:abstractNumId w:val="5"/>
  </w:num>
  <w:num w:numId="5" w16cid:durableId="1796173343">
    <w:abstractNumId w:val="4"/>
  </w:num>
  <w:num w:numId="6" w16cid:durableId="206990096">
    <w:abstractNumId w:val="3"/>
  </w:num>
  <w:num w:numId="7" w16cid:durableId="1692536169">
    <w:abstractNumId w:val="0"/>
  </w:num>
  <w:num w:numId="8" w16cid:durableId="646398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1"/>
    <w:rsid w:val="00291EFF"/>
    <w:rsid w:val="009263FC"/>
    <w:rsid w:val="00D82B16"/>
    <w:rsid w:val="00F038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AE921D"/>
  <w15:chartTrackingRefBased/>
  <w15:docId w15:val="{BFD2DE36-AF0B-5C45-B615-87A8EEA2C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F038C1"/>
  </w:style>
  <w:style w:type="paragraph" w:styleId="Lijstalinea">
    <w:name w:val="List Paragraph"/>
    <w:basedOn w:val="Standaard"/>
    <w:uiPriority w:val="34"/>
    <w:qFormat/>
    <w:rsid w:val="00F038C1"/>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7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1014</Words>
  <Characters>5582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Putmans</dc:creator>
  <cp:keywords/>
  <dc:description/>
  <cp:lastModifiedBy>Marc Putmans</cp:lastModifiedBy>
  <cp:revision>3</cp:revision>
  <dcterms:created xsi:type="dcterms:W3CDTF">2022-11-02T14:38:00Z</dcterms:created>
  <dcterms:modified xsi:type="dcterms:W3CDTF">2022-11-02T14:55:00Z</dcterms:modified>
</cp:coreProperties>
</file>