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C9" w:rsidRDefault="00F92C2D" w:rsidP="00054ADD">
      <w:pPr>
        <w:spacing w:line="276" w:lineRule="auto"/>
      </w:pPr>
      <w:r>
        <w:t xml:space="preserve">Zoals in voorgaande </w:t>
      </w:r>
      <w:r w:rsidR="00910933">
        <w:t>overleggen</w:t>
      </w:r>
      <w:r>
        <w:t xml:space="preserve"> aangegeven, is de provincie voornemens middelen beschikbaar te stellen voor het realiseren van projecten met betrekking tot klimaatadaptatie in het stedelijk gebied. </w:t>
      </w:r>
      <w:r w:rsidR="000907C9">
        <w:t>Daartoe hebben wij enkele mogelijke projecttitels ontvangen die hiervoor in aanmerking kunnen komen. Met deze lijst ben ik het gesprek aangegaan met gedeputeerde Staten over de invulling van de besch</w:t>
      </w:r>
      <w:r w:rsidR="00DB75E4">
        <w:t>ikbare middelen. De</w:t>
      </w:r>
      <w:r w:rsidR="000907C9">
        <w:t xml:space="preserve"> portefeuillehouder </w:t>
      </w:r>
      <w:r w:rsidR="00DB75E4">
        <w:t>heeft hierop aangegeven om gebruik</w:t>
      </w:r>
      <w:r w:rsidR="00505017">
        <w:t xml:space="preserve"> te maken van het netwerk en de stukken die voortgekomen zijn uit de impulsregeling van het DPRA (Projecten gebaseerd op stresstesten, gevoerde risicodialogen en gemaakte uitvoeringsagenda’s of actieprogramma’</w:t>
      </w:r>
      <w:r w:rsidR="00910933">
        <w:t>s).</w:t>
      </w:r>
      <w:r w:rsidR="00505017">
        <w:t xml:space="preserve"> </w:t>
      </w:r>
    </w:p>
    <w:p w:rsidR="00505017" w:rsidRDefault="00505017" w:rsidP="00054ADD">
      <w:pPr>
        <w:spacing w:line="276" w:lineRule="auto"/>
      </w:pPr>
    </w:p>
    <w:p w:rsidR="00910933" w:rsidRDefault="00FA6343" w:rsidP="00054ADD">
      <w:pPr>
        <w:spacing w:line="276" w:lineRule="auto"/>
      </w:pPr>
      <w:r>
        <w:t>De provincie begrijp</w:t>
      </w:r>
      <w:r w:rsidR="00181040">
        <w:t>t</w:t>
      </w:r>
      <w:r>
        <w:t xml:space="preserve"> dat projecten die op de agenda staan bedoeld zijn als aanvraag voor de DPRA impulsregeling en dat hiervoor ook budget vrijgemaakt is i.c.m. de verkregen midd</w:t>
      </w:r>
      <w:bookmarkStart w:id="0" w:name="_GoBack"/>
      <w:bookmarkEnd w:id="0"/>
      <w:r>
        <w:t xml:space="preserve">elen vanuit het Rijk. </w:t>
      </w:r>
      <w:r w:rsidR="00181040">
        <w:t xml:space="preserve">Toch zijn de opgaven groter dan de drie aanvragen die binnen de impulsregeling ingediend </w:t>
      </w:r>
      <w:r w:rsidR="00910933">
        <w:t xml:space="preserve">kunnen </w:t>
      </w:r>
      <w:r w:rsidR="00181040">
        <w:t xml:space="preserve">worden. </w:t>
      </w:r>
      <w:r w:rsidR="00877B2E">
        <w:t>De provincie is voornemens</w:t>
      </w:r>
      <w:r w:rsidR="008F23DD">
        <w:t xml:space="preserve"> een bijdrage</w:t>
      </w:r>
      <w:r w:rsidR="00877B2E">
        <w:t xml:space="preserve"> te</w:t>
      </w:r>
      <w:r w:rsidR="008F23DD">
        <w:t xml:space="preserve"> leveren aan projecten die buiten de aanvragen van de impulsregeling</w:t>
      </w:r>
      <w:r w:rsidR="00F92C2D">
        <w:t xml:space="preserve"> </w:t>
      </w:r>
      <w:r w:rsidR="008F23DD">
        <w:t xml:space="preserve">vallen, maar toch op de agenda staan om </w:t>
      </w:r>
      <w:r w:rsidR="00F92C2D">
        <w:t xml:space="preserve">uitgevoerd </w:t>
      </w:r>
      <w:r w:rsidR="008F23DD">
        <w:t>te worden</w:t>
      </w:r>
      <w:r w:rsidR="00877B2E">
        <w:t xml:space="preserve">. Mogelijke projecten dienen te voldoen aan de doelstellingen uit het provinciaal Waterprogramma en moeten betrekking </w:t>
      </w:r>
      <w:r w:rsidR="00DB5483">
        <w:t xml:space="preserve">hebben op het stedelijk gebied. Mogelijke uitvoerbaarheid op Limburgse schaal krijgt hierbij de voorkeur. </w:t>
      </w:r>
    </w:p>
    <w:p w:rsidR="009E1941" w:rsidRDefault="009E1941" w:rsidP="00054ADD">
      <w:pPr>
        <w:spacing w:line="276" w:lineRule="auto"/>
      </w:pPr>
    </w:p>
    <w:p w:rsidR="00054ADD" w:rsidRDefault="00054ADD" w:rsidP="00054ADD">
      <w:pPr>
        <w:spacing w:line="276" w:lineRule="auto"/>
      </w:pPr>
      <w:r>
        <w:t xml:space="preserve">Voor nu gaan wij uit van een eenmalige bijdrage vanuit de provincie aan elke werkregio middels een verdeelsleutel zoals opgenomen in de stimuleringsregeling van het deltaplan ruimtelijke adaptatie (tabel 1). Met een ondersteuning van ca 25% kan het gemeenten (gemeenteraden) over de streep trekken om projecten te realiseren. Hier kunnen verdere discussies over gevoerd worden binnen de werkregio’s of in een apart overleg. </w:t>
      </w:r>
      <w:r w:rsidR="00DF73E5">
        <w:t xml:space="preserve">VB: </w:t>
      </w:r>
      <w:r>
        <w:t xml:space="preserve">Voor DPRA wordt uitgegaan van 1/3e bijdrage en 2/3e cofinanciering. Verder wordt de afspraak gemaakt om per werkregio minimaal 1 project te realiseren. </w:t>
      </w:r>
      <w:r w:rsidR="00DF73E5">
        <w:t xml:space="preserve">De verdeelsleutel geeft inzicht in het aandeel van het beschikbaar budget voor alle werkregio’s. </w:t>
      </w:r>
    </w:p>
    <w:p w:rsidR="00054ADD" w:rsidRDefault="00054ADD" w:rsidP="00054ADD">
      <w:pPr>
        <w:pStyle w:val="Bijschrift"/>
        <w:keepNext/>
      </w:pPr>
      <w:r>
        <w:t xml:space="preserve">Tabel </w:t>
      </w:r>
      <w:r w:rsidR="00B92BAA">
        <w:fldChar w:fldCharType="begin"/>
      </w:r>
      <w:r w:rsidR="00B92BAA">
        <w:instrText xml:space="preserve"> SEQ Tabel \* ARABIC </w:instrText>
      </w:r>
      <w:r w:rsidR="00B92BAA">
        <w:fldChar w:fldCharType="separate"/>
      </w:r>
      <w:r>
        <w:rPr>
          <w:noProof/>
        </w:rPr>
        <w:t>1</w:t>
      </w:r>
      <w:r w:rsidR="00B92BAA">
        <w:rPr>
          <w:noProof/>
        </w:rPr>
        <w:fldChar w:fldCharType="end"/>
      </w:r>
      <w:r>
        <w:t>: Verdeelsleutel zoals opgenomen in de stimuleringsregeling DPRA.</w:t>
      </w:r>
    </w:p>
    <w:tbl>
      <w:tblPr>
        <w:tblStyle w:val="Tabelraster"/>
        <w:tblpPr w:leftFromText="141" w:rightFromText="141" w:vertAnchor="text" w:horzAnchor="margin" w:tblpY="26"/>
        <w:tblW w:w="0" w:type="auto"/>
        <w:tblLook w:val="04A0" w:firstRow="1" w:lastRow="0" w:firstColumn="1" w:lastColumn="0" w:noHBand="0" w:noVBand="1"/>
      </w:tblPr>
      <w:tblGrid>
        <w:gridCol w:w="534"/>
        <w:gridCol w:w="2409"/>
        <w:gridCol w:w="4820"/>
        <w:gridCol w:w="1447"/>
      </w:tblGrid>
      <w:tr w:rsidR="00054ADD" w:rsidTr="00054ADD">
        <w:tc>
          <w:tcPr>
            <w:tcW w:w="2943" w:type="dxa"/>
            <w:gridSpan w:val="2"/>
          </w:tcPr>
          <w:p w:rsidR="00054ADD" w:rsidRDefault="00054ADD" w:rsidP="00FA3ABA">
            <w:r>
              <w:t>Werkregio</w:t>
            </w:r>
          </w:p>
        </w:tc>
        <w:tc>
          <w:tcPr>
            <w:tcW w:w="4820" w:type="dxa"/>
          </w:tcPr>
          <w:p w:rsidR="00054ADD" w:rsidRDefault="00054ADD" w:rsidP="00FA3ABA">
            <w:r>
              <w:t xml:space="preserve">Decentrale overheden </w:t>
            </w:r>
          </w:p>
        </w:tc>
        <w:tc>
          <w:tcPr>
            <w:tcW w:w="1447" w:type="dxa"/>
          </w:tcPr>
          <w:p w:rsidR="00054ADD" w:rsidRDefault="00054ADD" w:rsidP="00FA3ABA">
            <w:r>
              <w:t xml:space="preserve">Percentage </w:t>
            </w:r>
          </w:p>
        </w:tc>
      </w:tr>
      <w:tr w:rsidR="00054ADD" w:rsidTr="00054ADD">
        <w:tc>
          <w:tcPr>
            <w:tcW w:w="534" w:type="dxa"/>
          </w:tcPr>
          <w:p w:rsidR="00054ADD" w:rsidRDefault="00054ADD" w:rsidP="00FA3ABA">
            <w:r>
              <w:t>1</w:t>
            </w:r>
          </w:p>
        </w:tc>
        <w:tc>
          <w:tcPr>
            <w:tcW w:w="2409" w:type="dxa"/>
          </w:tcPr>
          <w:p w:rsidR="00054ADD" w:rsidRDefault="00054ADD" w:rsidP="00FA3ABA">
            <w:r>
              <w:t>Parkstad</w:t>
            </w:r>
          </w:p>
        </w:tc>
        <w:tc>
          <w:tcPr>
            <w:tcW w:w="4820" w:type="dxa"/>
          </w:tcPr>
          <w:p w:rsidR="00054ADD" w:rsidRDefault="00054ADD" w:rsidP="00FA3ABA">
            <w:r>
              <w:t>Beekdaelen, Brunssum, Landgraaf, Heerlen, Kerkrade, Simpelveld, Voerendaal</w:t>
            </w:r>
          </w:p>
        </w:tc>
        <w:tc>
          <w:tcPr>
            <w:tcW w:w="1447" w:type="dxa"/>
          </w:tcPr>
          <w:p w:rsidR="00054ADD" w:rsidRDefault="00054ADD" w:rsidP="00FA3ABA">
            <w:r>
              <w:t xml:space="preserve">16,96 % </w:t>
            </w:r>
          </w:p>
        </w:tc>
      </w:tr>
      <w:tr w:rsidR="00054ADD" w:rsidTr="00054ADD">
        <w:tc>
          <w:tcPr>
            <w:tcW w:w="534" w:type="dxa"/>
          </w:tcPr>
          <w:p w:rsidR="00054ADD" w:rsidRDefault="00054ADD" w:rsidP="00FA3ABA">
            <w:r>
              <w:t>2</w:t>
            </w:r>
          </w:p>
        </w:tc>
        <w:tc>
          <w:tcPr>
            <w:tcW w:w="2409" w:type="dxa"/>
          </w:tcPr>
          <w:p w:rsidR="00054ADD" w:rsidRDefault="00054ADD" w:rsidP="00FA3ABA">
            <w:r>
              <w:t>Westelijke Mijnstreek</w:t>
            </w:r>
          </w:p>
        </w:tc>
        <w:tc>
          <w:tcPr>
            <w:tcW w:w="4820" w:type="dxa"/>
          </w:tcPr>
          <w:p w:rsidR="00054ADD" w:rsidRDefault="00054ADD" w:rsidP="00FA3ABA">
            <w:r>
              <w:t>Stein, Sittard-Geleen, Beek</w:t>
            </w:r>
          </w:p>
        </w:tc>
        <w:tc>
          <w:tcPr>
            <w:tcW w:w="1447" w:type="dxa"/>
          </w:tcPr>
          <w:p w:rsidR="00054ADD" w:rsidRDefault="00054ADD" w:rsidP="00FA3ABA">
            <w:r>
              <w:t>8,86 %</w:t>
            </w:r>
          </w:p>
        </w:tc>
      </w:tr>
      <w:tr w:rsidR="00054ADD" w:rsidTr="00054ADD">
        <w:tc>
          <w:tcPr>
            <w:tcW w:w="534" w:type="dxa"/>
          </w:tcPr>
          <w:p w:rsidR="00054ADD" w:rsidRDefault="00054ADD" w:rsidP="00FA3ABA">
            <w:r>
              <w:t>3</w:t>
            </w:r>
          </w:p>
        </w:tc>
        <w:tc>
          <w:tcPr>
            <w:tcW w:w="2409" w:type="dxa"/>
          </w:tcPr>
          <w:p w:rsidR="00054ADD" w:rsidRDefault="00054ADD" w:rsidP="00FA3ABA">
            <w:r>
              <w:t>Maas en Mergelland</w:t>
            </w:r>
          </w:p>
        </w:tc>
        <w:tc>
          <w:tcPr>
            <w:tcW w:w="4820" w:type="dxa"/>
          </w:tcPr>
          <w:p w:rsidR="00054ADD" w:rsidRDefault="00054ADD" w:rsidP="00FA3ABA">
            <w:r>
              <w:t>Maastricht, Meerssen, Eijsden-Margraten, Gulpen-Wittem, Vaals, Valkenburg</w:t>
            </w:r>
          </w:p>
        </w:tc>
        <w:tc>
          <w:tcPr>
            <w:tcW w:w="1447" w:type="dxa"/>
          </w:tcPr>
          <w:p w:rsidR="00054ADD" w:rsidRDefault="00054ADD" w:rsidP="00FA3ABA">
            <w:r>
              <w:t xml:space="preserve">16,12 % </w:t>
            </w:r>
          </w:p>
        </w:tc>
      </w:tr>
      <w:tr w:rsidR="00054ADD" w:rsidTr="00054ADD">
        <w:tc>
          <w:tcPr>
            <w:tcW w:w="534" w:type="dxa"/>
          </w:tcPr>
          <w:p w:rsidR="00054ADD" w:rsidRDefault="00054ADD" w:rsidP="00FA3ABA">
            <w:r>
              <w:t>4</w:t>
            </w:r>
          </w:p>
        </w:tc>
        <w:tc>
          <w:tcPr>
            <w:tcW w:w="2409" w:type="dxa"/>
          </w:tcPr>
          <w:p w:rsidR="00054ADD" w:rsidRDefault="00054ADD" w:rsidP="00FA3ABA">
            <w:r>
              <w:t>Waterpanel Noord</w:t>
            </w:r>
          </w:p>
        </w:tc>
        <w:tc>
          <w:tcPr>
            <w:tcW w:w="4820" w:type="dxa"/>
          </w:tcPr>
          <w:p w:rsidR="00054ADD" w:rsidRDefault="00054ADD" w:rsidP="00FA3ABA">
            <w:r>
              <w:t xml:space="preserve">Roermond, Venlo, Venray, Beesel, Bergen, Echt-Susteren, Gennep, Horst aan de Maas, Leudal, Maasgouw, Mook en Middelaar, Nederweert, Peel en Maas, Roerdalen, Weert.  </w:t>
            </w:r>
          </w:p>
        </w:tc>
        <w:tc>
          <w:tcPr>
            <w:tcW w:w="1447" w:type="dxa"/>
          </w:tcPr>
          <w:p w:rsidR="00054ADD" w:rsidRDefault="00054ADD" w:rsidP="00FA3ABA">
            <w:r>
              <w:t xml:space="preserve">58,06 % </w:t>
            </w:r>
          </w:p>
        </w:tc>
      </w:tr>
    </w:tbl>
    <w:p w:rsidR="00054ADD" w:rsidRDefault="00054ADD" w:rsidP="00054ADD">
      <w:pPr>
        <w:spacing w:line="276" w:lineRule="auto"/>
      </w:pPr>
    </w:p>
    <w:p w:rsidR="00054ADD" w:rsidRDefault="00054ADD" w:rsidP="00054ADD">
      <w:pPr>
        <w:spacing w:line="276" w:lineRule="auto"/>
      </w:pPr>
      <w:r>
        <w:t xml:space="preserve">Voor een dergelijke bijdrage is het noodzakelijk om aan de voorkant een aantal onderdelen duidelijk in beeld te brengen om zo goed mogelijk aan te sluiten op onze eigen provinciale doelen en interesses. Uit het waterprogramma </w:t>
      </w:r>
      <w:r w:rsidR="009C71B1">
        <w:t xml:space="preserve">zie ik de volgende raakvlakken met het stedelijk gebied. </w:t>
      </w:r>
    </w:p>
    <w:p w:rsidR="00054ADD" w:rsidRDefault="00054ADD" w:rsidP="00054ADD">
      <w:pPr>
        <w:pStyle w:val="Lijstalinea"/>
        <w:numPr>
          <w:ilvl w:val="0"/>
          <w:numId w:val="23"/>
        </w:numPr>
        <w:spacing w:line="276" w:lineRule="auto"/>
      </w:pPr>
      <w:r>
        <w:t>Vasthouden en infiltreren va</w:t>
      </w:r>
      <w:r w:rsidR="00DB5483">
        <w:t xml:space="preserve">n water in het stedelijk gebied om beter om te gaan met drogere perioden. </w:t>
      </w:r>
    </w:p>
    <w:p w:rsidR="009C71B1" w:rsidRDefault="009C71B1" w:rsidP="00054ADD">
      <w:pPr>
        <w:pStyle w:val="Lijstalinea"/>
        <w:numPr>
          <w:ilvl w:val="0"/>
          <w:numId w:val="23"/>
        </w:numPr>
        <w:spacing w:line="276" w:lineRule="auto"/>
      </w:pPr>
      <w:r>
        <w:t xml:space="preserve">Verbeteren/voorkomen van stedelijke wateroverlast </w:t>
      </w:r>
      <w:r w:rsidR="00307525">
        <w:t>door aanleg blauwgroene structuren die</w:t>
      </w:r>
      <w:r>
        <w:t xml:space="preserve"> verder een bijdrage </w:t>
      </w:r>
      <w:r w:rsidR="00307525">
        <w:t>kunnen</w:t>
      </w:r>
      <w:r>
        <w:t xml:space="preserve"> leveren aan het verminderen van de hittestress en het bevorderen van de biodiversiteit in de stad. (de nadruk hierbij op de wateroverlast component. Overige thema’s be</w:t>
      </w:r>
      <w:r w:rsidR="00307525">
        <w:t>schouwen als (mee)koppelkansen.)</w:t>
      </w:r>
    </w:p>
    <w:p w:rsidR="009C71B1" w:rsidRDefault="009C71B1" w:rsidP="009C71B1">
      <w:pPr>
        <w:pStyle w:val="Lijstalinea"/>
        <w:numPr>
          <w:ilvl w:val="0"/>
          <w:numId w:val="23"/>
        </w:numPr>
        <w:spacing w:line="276" w:lineRule="auto"/>
      </w:pPr>
      <w:r>
        <w:t xml:space="preserve">Informeren en stimuleren van burgers en bedrijven in het bebouwde gebied. Denk hierbij aan omgaan met water, klimaatadaptatie, zuinig watergebruik etc. Zo veel mogelijk samen met andere partijen in te zetten. </w:t>
      </w:r>
    </w:p>
    <w:p w:rsidR="007B79EC" w:rsidRPr="00AB4B28" w:rsidRDefault="007B79EC" w:rsidP="00AB4B28"/>
    <w:sectPr w:rsidR="007B79EC" w:rsidRPr="00AB4B28"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50" w:rsidRDefault="00364450">
      <w:r>
        <w:separator/>
      </w:r>
    </w:p>
  </w:endnote>
  <w:endnote w:type="continuationSeparator" w:id="0">
    <w:p w:rsidR="00364450" w:rsidRDefault="0036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50" w:rsidRDefault="00364450">
      <w:r>
        <w:separator/>
      </w:r>
    </w:p>
  </w:footnote>
  <w:footnote w:type="continuationSeparator" w:id="0">
    <w:p w:rsidR="00364450" w:rsidRDefault="0036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26F8362A"/>
    <w:multiLevelType w:val="hybridMultilevel"/>
    <w:tmpl w:val="590C7622"/>
    <w:lvl w:ilvl="0" w:tplc="7878F3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3"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4"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50"/>
    <w:rsid w:val="00054ADD"/>
    <w:rsid w:val="000907C9"/>
    <w:rsid w:val="000A73F6"/>
    <w:rsid w:val="00166D2A"/>
    <w:rsid w:val="00181040"/>
    <w:rsid w:val="00307525"/>
    <w:rsid w:val="00364450"/>
    <w:rsid w:val="0039219F"/>
    <w:rsid w:val="003B21D5"/>
    <w:rsid w:val="003E7458"/>
    <w:rsid w:val="0042770A"/>
    <w:rsid w:val="00432377"/>
    <w:rsid w:val="004F2113"/>
    <w:rsid w:val="00505017"/>
    <w:rsid w:val="005F4937"/>
    <w:rsid w:val="007B79EC"/>
    <w:rsid w:val="00877B2E"/>
    <w:rsid w:val="008F23DD"/>
    <w:rsid w:val="00910933"/>
    <w:rsid w:val="00912EE2"/>
    <w:rsid w:val="00932012"/>
    <w:rsid w:val="00975B09"/>
    <w:rsid w:val="009A4456"/>
    <w:rsid w:val="009C71B1"/>
    <w:rsid w:val="009E1941"/>
    <w:rsid w:val="00A40E9E"/>
    <w:rsid w:val="00A5138B"/>
    <w:rsid w:val="00AA51A1"/>
    <w:rsid w:val="00AB4B28"/>
    <w:rsid w:val="00AF45C4"/>
    <w:rsid w:val="00B92BAA"/>
    <w:rsid w:val="00B9327D"/>
    <w:rsid w:val="00C036F4"/>
    <w:rsid w:val="00CE4E13"/>
    <w:rsid w:val="00DB449B"/>
    <w:rsid w:val="00DB5483"/>
    <w:rsid w:val="00DB75E4"/>
    <w:rsid w:val="00DF73E5"/>
    <w:rsid w:val="00E17EF8"/>
    <w:rsid w:val="00F300F0"/>
    <w:rsid w:val="00F6503B"/>
    <w:rsid w:val="00F72236"/>
    <w:rsid w:val="00F92C2D"/>
    <w:rsid w:val="00FA6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453BBF"/>
  <w15:chartTrackingRefBased/>
  <w15:docId w15:val="{BD30434B-ACBD-4874-9FAC-6C31E4D7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2C2D"/>
    <w:pPr>
      <w:spacing w:line="280" w:lineRule="atLeast"/>
    </w:pPr>
    <w:rPr>
      <w:rFonts w:ascii="Arial" w:hAnsi="Arial"/>
      <w:lang w:eastAsia="en-US"/>
    </w:rPr>
  </w:style>
  <w:style w:type="paragraph" w:styleId="Kop1">
    <w:name w:val="heading 1"/>
    <w:basedOn w:val="Standaard"/>
    <w:next w:val="Standaard"/>
    <w:link w:val="Kop1Char"/>
    <w:qFormat/>
    <w:rsid w:val="00975B09"/>
    <w:pPr>
      <w:keepNext/>
      <w:numPr>
        <w:numId w:val="20"/>
      </w:numPr>
      <w:tabs>
        <w:tab w:val="left" w:pos="851"/>
      </w:tabs>
      <w:outlineLvl w:val="0"/>
    </w:pPr>
    <w:rPr>
      <w:b/>
    </w:rPr>
  </w:style>
  <w:style w:type="paragraph" w:styleId="Kop2">
    <w:name w:val="heading 2"/>
    <w:basedOn w:val="Standaard"/>
    <w:next w:val="Standaard"/>
    <w:link w:val="Kop2Char"/>
    <w:qFormat/>
    <w:rsid w:val="00975B09"/>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975B09"/>
    <w:pPr>
      <w:keepNext/>
      <w:numPr>
        <w:ilvl w:val="2"/>
        <w:numId w:val="20"/>
      </w:numPr>
      <w:tabs>
        <w:tab w:val="left" w:pos="851"/>
      </w:tabs>
      <w:outlineLvl w:val="2"/>
    </w:pPr>
    <w:rPr>
      <w:b/>
    </w:rPr>
  </w:style>
  <w:style w:type="paragraph" w:styleId="Kop4">
    <w:name w:val="heading 4"/>
    <w:basedOn w:val="Standaard"/>
    <w:next w:val="Standaard"/>
    <w:link w:val="Kop4Char"/>
    <w:qFormat/>
    <w:rsid w:val="00975B09"/>
    <w:pPr>
      <w:keepNext/>
      <w:numPr>
        <w:ilvl w:val="3"/>
        <w:numId w:val="20"/>
      </w:numPr>
      <w:tabs>
        <w:tab w:val="left" w:pos="851"/>
      </w:tabs>
      <w:outlineLvl w:val="3"/>
    </w:pPr>
    <w:rPr>
      <w:b/>
    </w:rPr>
  </w:style>
  <w:style w:type="paragraph" w:styleId="Kop5">
    <w:name w:val="heading 5"/>
    <w:basedOn w:val="Standaard"/>
    <w:next w:val="Standaard"/>
    <w:link w:val="Kop5Char"/>
    <w:qFormat/>
    <w:rsid w:val="00975B09"/>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975B09"/>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975B09"/>
    <w:pPr>
      <w:tabs>
        <w:tab w:val="left" w:pos="851"/>
        <w:tab w:val="right" w:pos="9072"/>
      </w:tabs>
      <w:spacing w:before="280" w:line="240" w:lineRule="auto"/>
    </w:pPr>
    <w:rPr>
      <w:b/>
      <w:noProof/>
    </w:rPr>
  </w:style>
  <w:style w:type="paragraph" w:styleId="Inhopg2">
    <w:name w:val="toc 2"/>
    <w:basedOn w:val="Standaard"/>
    <w:next w:val="Standaard"/>
    <w:autoRedefine/>
    <w:semiHidden/>
    <w:rsid w:val="00975B09"/>
    <w:pPr>
      <w:tabs>
        <w:tab w:val="left" w:pos="851"/>
        <w:tab w:val="right" w:leader="dot" w:pos="9072"/>
      </w:tabs>
      <w:spacing w:line="240" w:lineRule="auto"/>
    </w:pPr>
    <w:rPr>
      <w:noProof/>
    </w:rPr>
  </w:style>
  <w:style w:type="paragraph" w:styleId="Inhopg3">
    <w:name w:val="toc 3"/>
    <w:basedOn w:val="Standaard"/>
    <w:next w:val="Standaard"/>
    <w:autoRedefine/>
    <w:semiHidden/>
    <w:rsid w:val="00975B09"/>
    <w:pPr>
      <w:tabs>
        <w:tab w:val="left" w:pos="851"/>
        <w:tab w:val="right" w:leader="dot" w:pos="9072"/>
      </w:tabs>
      <w:spacing w:line="240" w:lineRule="auto"/>
    </w:pPr>
    <w:rPr>
      <w:noProof/>
    </w:rPr>
  </w:style>
  <w:style w:type="paragraph" w:styleId="Inhopg4">
    <w:name w:val="toc 4"/>
    <w:basedOn w:val="Standaard"/>
    <w:next w:val="Standaard"/>
    <w:autoRedefine/>
    <w:semiHidden/>
    <w:rsid w:val="00975B09"/>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975B09"/>
    <w:pPr>
      <w:tabs>
        <w:tab w:val="left" w:pos="425"/>
      </w:tabs>
    </w:pPr>
  </w:style>
  <w:style w:type="paragraph" w:customStyle="1" w:styleId="opsom2">
    <w:name w:val="opsom2"/>
    <w:basedOn w:val="Standaard"/>
    <w:rsid w:val="00975B09"/>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975B09"/>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975B09"/>
    <w:pPr>
      <w:spacing w:before="120"/>
    </w:pPr>
    <w:rPr>
      <w:i/>
      <w:spacing w:val="6"/>
      <w:sz w:val="18"/>
    </w:rPr>
  </w:style>
  <w:style w:type="character" w:customStyle="1" w:styleId="refkopjes">
    <w:name w:val="refkopjes"/>
    <w:rsid w:val="00975B09"/>
    <w:rPr>
      <w:rFonts w:ascii="Verdana" w:hAnsi="Verdana"/>
      <w:sz w:val="16"/>
    </w:rPr>
  </w:style>
  <w:style w:type="paragraph" w:customStyle="1" w:styleId="Hoofdkop">
    <w:name w:val="Hoofdkop"/>
    <w:basedOn w:val="Standaard"/>
    <w:next w:val="Standaard"/>
    <w:rsid w:val="00975B09"/>
    <w:rPr>
      <w:b/>
      <w:caps/>
    </w:rPr>
  </w:style>
  <w:style w:type="paragraph" w:customStyle="1" w:styleId="Alineakop">
    <w:name w:val="Alineakop"/>
    <w:basedOn w:val="Standaard"/>
    <w:next w:val="Standaard"/>
    <w:rsid w:val="00975B09"/>
    <w:rPr>
      <w:b/>
    </w:rPr>
  </w:style>
  <w:style w:type="paragraph" w:customStyle="1" w:styleId="Subalineakop">
    <w:name w:val="Subalineakop"/>
    <w:basedOn w:val="Standaard"/>
    <w:next w:val="Standaard"/>
    <w:rsid w:val="00975B09"/>
    <w:rPr>
      <w:i/>
    </w:rPr>
  </w:style>
  <w:style w:type="paragraph" w:customStyle="1" w:styleId="formuliernaam">
    <w:name w:val="formuliernaam"/>
    <w:basedOn w:val="Standaard"/>
    <w:next w:val="Standaard"/>
    <w:rsid w:val="00975B09"/>
    <w:rPr>
      <w:sz w:val="40"/>
    </w:rPr>
  </w:style>
  <w:style w:type="paragraph" w:customStyle="1" w:styleId="refkop">
    <w:name w:val="refkop"/>
    <w:basedOn w:val="Standaard"/>
    <w:rsid w:val="00975B09"/>
    <w:pPr>
      <w:spacing w:line="240" w:lineRule="auto"/>
    </w:pPr>
    <w:rPr>
      <w:rFonts w:ascii="Arial Narrow" w:hAnsi="Arial Narrow"/>
      <w:sz w:val="18"/>
    </w:rPr>
  </w:style>
  <w:style w:type="paragraph" w:styleId="Titel">
    <w:name w:val="Title"/>
    <w:basedOn w:val="Standaard"/>
    <w:link w:val="TitelChar"/>
    <w:qFormat/>
    <w:rsid w:val="00975B09"/>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975B09"/>
    <w:pPr>
      <w:spacing w:line="280" w:lineRule="atLeast"/>
    </w:pPr>
    <w:rPr>
      <w:rFonts w:ascii="Arial" w:hAnsi="Arial"/>
      <w:b/>
      <w:lang w:eastAsia="en-US"/>
    </w:rPr>
  </w:style>
  <w:style w:type="character" w:customStyle="1" w:styleId="Kop1Char">
    <w:name w:val="Kop 1 Char"/>
    <w:basedOn w:val="Standaardalinea-lettertype"/>
    <w:link w:val="Kop1"/>
    <w:rsid w:val="00975B09"/>
    <w:rPr>
      <w:rFonts w:ascii="Arial" w:hAnsi="Arial"/>
      <w:b/>
      <w:lang w:eastAsia="en-US"/>
    </w:rPr>
  </w:style>
  <w:style w:type="character" w:customStyle="1" w:styleId="Kop2Char">
    <w:name w:val="Kop 2 Char"/>
    <w:basedOn w:val="Standaardalinea-lettertype"/>
    <w:link w:val="Kop2"/>
    <w:rsid w:val="00975B09"/>
    <w:rPr>
      <w:rFonts w:ascii="Arial" w:hAnsi="Arial"/>
      <w:b/>
      <w:noProof/>
      <w:lang w:eastAsia="en-US"/>
    </w:rPr>
  </w:style>
  <w:style w:type="character" w:customStyle="1" w:styleId="Kop3Char">
    <w:name w:val="Kop 3 Char"/>
    <w:basedOn w:val="Standaardalinea-lettertype"/>
    <w:link w:val="Kop3"/>
    <w:rsid w:val="00975B09"/>
    <w:rPr>
      <w:rFonts w:ascii="Arial" w:hAnsi="Arial"/>
      <w:b/>
      <w:lang w:eastAsia="en-US"/>
    </w:rPr>
  </w:style>
  <w:style w:type="character" w:customStyle="1" w:styleId="Kop4Char">
    <w:name w:val="Kop 4 Char"/>
    <w:basedOn w:val="Standaardalinea-lettertype"/>
    <w:link w:val="Kop4"/>
    <w:rsid w:val="00975B09"/>
    <w:rPr>
      <w:rFonts w:ascii="Arial" w:hAnsi="Arial"/>
      <w:b/>
      <w:lang w:eastAsia="en-US"/>
    </w:rPr>
  </w:style>
  <w:style w:type="character" w:customStyle="1" w:styleId="Kop5Char">
    <w:name w:val="Kop 5 Char"/>
    <w:basedOn w:val="Standaardalinea-lettertype"/>
    <w:link w:val="Kop5"/>
    <w:rsid w:val="00975B09"/>
    <w:rPr>
      <w:rFonts w:ascii="Arial" w:hAnsi="Arial"/>
      <w:spacing w:val="6"/>
      <w:lang w:eastAsia="en-US"/>
    </w:rPr>
  </w:style>
  <w:style w:type="character" w:customStyle="1" w:styleId="TitelChar">
    <w:name w:val="Titel Char"/>
    <w:basedOn w:val="Standaardalinea-lettertype"/>
    <w:link w:val="Titel"/>
    <w:rsid w:val="00975B09"/>
    <w:rPr>
      <w:rFonts w:ascii="Arial" w:hAnsi="Arial"/>
      <w:kern w:val="28"/>
      <w:sz w:val="40"/>
      <w:lang w:eastAsia="en-US"/>
    </w:rPr>
  </w:style>
  <w:style w:type="character" w:customStyle="1" w:styleId="VoettekstChar">
    <w:name w:val="Voettekst Char"/>
    <w:basedOn w:val="Standaardalinea-lettertype"/>
    <w:link w:val="Voettekst"/>
    <w:rsid w:val="00975B09"/>
    <w:rPr>
      <w:rFonts w:ascii="Arial" w:hAnsi="Arial"/>
      <w:sz w:val="15"/>
      <w:lang w:eastAsia="en-US"/>
    </w:rPr>
  </w:style>
  <w:style w:type="table" w:styleId="Tabelraster">
    <w:name w:val="Table Grid"/>
    <w:basedOn w:val="Standaardtabel"/>
    <w:rsid w:val="0005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Huits, Ivo</dc:creator>
  <cp:keywords/>
  <dc:description/>
  <cp:lastModifiedBy>Huits, Ivo</cp:lastModifiedBy>
  <cp:revision>8</cp:revision>
  <cp:lastPrinted>1999-02-10T12:28:00Z</cp:lastPrinted>
  <dcterms:created xsi:type="dcterms:W3CDTF">2022-07-25T12:58:00Z</dcterms:created>
  <dcterms:modified xsi:type="dcterms:W3CDTF">2022-09-19T15:54:00Z</dcterms:modified>
</cp:coreProperties>
</file>