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7C761878" w:rsidR="00DC3497" w:rsidRPr="00D53B02" w:rsidRDefault="0028048C" w:rsidP="00667B52">
            <w:pPr>
              <w:spacing w:line="276" w:lineRule="auto"/>
              <w:contextualSpacing/>
              <w:rPr>
                <w:rFonts w:cs="Arial"/>
                <w:sz w:val="18"/>
                <w:szCs w:val="18"/>
              </w:rPr>
            </w:pPr>
            <w:r>
              <w:rPr>
                <w:rFonts w:cs="Arial"/>
                <w:sz w:val="18"/>
                <w:szCs w:val="18"/>
              </w:rPr>
              <w:t>20</w:t>
            </w:r>
            <w:r w:rsidR="00A14C16">
              <w:rPr>
                <w:rFonts w:cs="Arial"/>
                <w:sz w:val="18"/>
                <w:szCs w:val="18"/>
              </w:rPr>
              <w:t xml:space="preserve"> </w:t>
            </w:r>
            <w:proofErr w:type="gramStart"/>
            <w:r>
              <w:rPr>
                <w:rFonts w:cs="Arial"/>
                <w:sz w:val="18"/>
                <w:szCs w:val="18"/>
              </w:rPr>
              <w:t xml:space="preserve">juli </w:t>
            </w:r>
            <w:r w:rsidR="00A14C16">
              <w:rPr>
                <w:rFonts w:cs="Arial"/>
                <w:sz w:val="18"/>
                <w:szCs w:val="18"/>
              </w:rPr>
              <w:t xml:space="preserve"> 2022</w:t>
            </w:r>
            <w:proofErr w:type="gramEnd"/>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5C454BB4" w:rsidR="00DC3497" w:rsidRPr="00D53B02" w:rsidRDefault="0028048C" w:rsidP="00667B52">
            <w:pPr>
              <w:spacing w:line="276" w:lineRule="auto"/>
              <w:contextualSpacing/>
              <w:rPr>
                <w:rFonts w:cs="Arial"/>
                <w:sz w:val="18"/>
                <w:szCs w:val="18"/>
              </w:rPr>
            </w:pPr>
            <w:r>
              <w:rPr>
                <w:rFonts w:cs="Arial"/>
                <w:sz w:val="18"/>
                <w:szCs w:val="18"/>
              </w:rPr>
              <w:t>4</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6E19CCB8" w:rsidR="004A63D9" w:rsidRPr="00D53B02" w:rsidRDefault="004A63D9" w:rsidP="00667B52">
            <w:pPr>
              <w:spacing w:line="276" w:lineRule="auto"/>
              <w:contextualSpacing/>
              <w:rPr>
                <w:rFonts w:cs="Arial"/>
                <w:sz w:val="18"/>
                <w:szCs w:val="18"/>
              </w:rPr>
            </w:pP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5FC818F9" w:rsidR="00A82554" w:rsidRPr="00D53B02" w:rsidRDefault="0028048C" w:rsidP="00667B52">
            <w:pPr>
              <w:spacing w:line="276" w:lineRule="auto"/>
              <w:contextualSpacing/>
              <w:rPr>
                <w:rFonts w:cs="Arial"/>
                <w:sz w:val="18"/>
                <w:szCs w:val="18"/>
              </w:rPr>
            </w:pPr>
            <w:proofErr w:type="spellStart"/>
            <w:r>
              <w:rPr>
                <w:rFonts w:cs="Arial"/>
                <w:sz w:val="18"/>
                <w:szCs w:val="18"/>
              </w:rPr>
              <w:t>Stavaza</w:t>
            </w:r>
            <w:proofErr w:type="spellEnd"/>
            <w:r>
              <w:rPr>
                <w:rFonts w:cs="Arial"/>
                <w:sz w:val="18"/>
                <w:szCs w:val="18"/>
              </w:rPr>
              <w:t xml:space="preserve"> </w:t>
            </w:r>
            <w:r w:rsidR="00A14C16">
              <w:rPr>
                <w:rFonts w:cs="Arial"/>
                <w:sz w:val="18"/>
                <w:szCs w:val="18"/>
              </w:rPr>
              <w:t xml:space="preserve">stadsregio Parkstad Limburg </w:t>
            </w:r>
            <w:proofErr w:type="gramStart"/>
            <w:r w:rsidR="00A14C16">
              <w:rPr>
                <w:rFonts w:cs="Arial"/>
                <w:sz w:val="18"/>
                <w:szCs w:val="18"/>
              </w:rPr>
              <w:t>inzake</w:t>
            </w:r>
            <w:proofErr w:type="gramEnd"/>
            <w:r w:rsidR="00A14C16">
              <w:rPr>
                <w:rFonts w:cs="Arial"/>
                <w:sz w:val="18"/>
                <w:szCs w:val="18"/>
              </w:rPr>
              <w:t xml:space="preserve"> klimaatadaptatie en water(-werkregio)</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12966D8D" w14:textId="77777777" w:rsidR="00335BDF" w:rsidRPr="00335BDF" w:rsidRDefault="00335BDF" w:rsidP="00335BDF">
            <w:pPr>
              <w:spacing w:line="276" w:lineRule="auto"/>
              <w:rPr>
                <w:rFonts w:cs="Arial"/>
                <w:b/>
                <w:i/>
                <w:sz w:val="20"/>
                <w:szCs w:val="20"/>
                <w:lang w:eastAsia="nl-NL"/>
              </w:rPr>
            </w:pPr>
          </w:p>
          <w:p w14:paraId="0FC42DB8" w14:textId="2FF582E8" w:rsidR="00297D4E" w:rsidRPr="00335BDF" w:rsidRDefault="00867351" w:rsidP="00143A59">
            <w:pPr>
              <w:spacing w:line="276" w:lineRule="auto"/>
              <w:rPr>
                <w:rFonts w:cs="Arial"/>
                <w:b/>
                <w:i/>
                <w:sz w:val="20"/>
                <w:szCs w:val="20"/>
                <w:lang w:eastAsia="nl-NL"/>
              </w:rPr>
            </w:pPr>
            <w:r w:rsidRPr="00335BDF">
              <w:rPr>
                <w:rFonts w:cs="Arial"/>
                <w:b/>
                <w:i/>
                <w:sz w:val="20"/>
                <w:szCs w:val="20"/>
                <w:lang w:eastAsia="nl-NL"/>
              </w:rPr>
              <w:t>Inleiding</w:t>
            </w:r>
          </w:p>
          <w:p w14:paraId="78ABB919" w14:textId="77777777" w:rsidR="00335BDF" w:rsidRPr="00335BDF" w:rsidRDefault="00335BDF" w:rsidP="00143A59">
            <w:pPr>
              <w:spacing w:line="276" w:lineRule="auto"/>
              <w:rPr>
                <w:rFonts w:cs="Arial"/>
                <w:b/>
                <w:i/>
                <w:sz w:val="20"/>
                <w:szCs w:val="20"/>
                <w:lang w:eastAsia="nl-NL"/>
              </w:rPr>
            </w:pPr>
          </w:p>
          <w:p w14:paraId="57A9F542" w14:textId="1CB9CAA5" w:rsidR="00C93F4C" w:rsidRDefault="0028048C" w:rsidP="00683253">
            <w:pPr>
              <w:tabs>
                <w:tab w:val="left" w:pos="284"/>
              </w:tabs>
              <w:spacing w:line="276" w:lineRule="auto"/>
              <w:rPr>
                <w:rFonts w:cs="Arial"/>
                <w:sz w:val="20"/>
                <w:szCs w:val="20"/>
              </w:rPr>
            </w:pPr>
            <w:r>
              <w:rPr>
                <w:rFonts w:cs="Arial"/>
                <w:sz w:val="20"/>
                <w:szCs w:val="20"/>
              </w:rPr>
              <w:t>Eind 2021 zijn we als waterwerkregio het proces gestart om, samen met de Stadsregio Parkstad Limburg, te verkennen of, en hoe, de stadsregio Parkstad Limburg de waterwerkregio kan ondersteunen in een procesmatige en coördinerende rol.</w:t>
            </w:r>
          </w:p>
          <w:p w14:paraId="1E9FD749" w14:textId="7512DFF6" w:rsidR="0028048C" w:rsidRDefault="0028048C" w:rsidP="00683253">
            <w:pPr>
              <w:tabs>
                <w:tab w:val="left" w:pos="284"/>
              </w:tabs>
              <w:spacing w:line="276" w:lineRule="auto"/>
              <w:rPr>
                <w:rFonts w:cs="Arial"/>
                <w:sz w:val="20"/>
                <w:szCs w:val="20"/>
              </w:rPr>
            </w:pPr>
          </w:p>
          <w:p w14:paraId="59AF7489" w14:textId="56D8CCEB" w:rsidR="0028048C" w:rsidRDefault="0028048C" w:rsidP="00683253">
            <w:pPr>
              <w:tabs>
                <w:tab w:val="left" w:pos="284"/>
              </w:tabs>
              <w:spacing w:line="276" w:lineRule="auto"/>
              <w:rPr>
                <w:rFonts w:cs="Arial"/>
                <w:sz w:val="20"/>
                <w:szCs w:val="20"/>
              </w:rPr>
            </w:pPr>
            <w:r>
              <w:rPr>
                <w:rFonts w:cs="Arial"/>
                <w:sz w:val="20"/>
                <w:szCs w:val="20"/>
              </w:rPr>
              <w:t xml:space="preserve">Per brief van 31 maart jl. hebben we formeel een verzoek ingediend bij het dagelijks bestuur van de Stadsregio Parkstad om te onderzoeken of hier een rol is weggelegd voor de Stadsregio Parkstad. </w:t>
            </w:r>
            <w:r w:rsidRPr="0028048C">
              <w:rPr>
                <w:rFonts w:cs="Arial"/>
                <w:sz w:val="20"/>
                <w:szCs w:val="20"/>
              </w:rPr>
              <w:t>Het verzoek namens de waterwerkregio</w:t>
            </w:r>
            <w:r w:rsidRPr="0028048C">
              <w:rPr>
                <w:rFonts w:cs="Arial"/>
                <w:sz w:val="20"/>
                <w:szCs w:val="20"/>
                <w:highlight w:val="yellow"/>
              </w:rPr>
              <w:t xml:space="preserve"> is als bijlage</w:t>
            </w:r>
            <w:r>
              <w:rPr>
                <w:rFonts w:cs="Arial"/>
                <w:sz w:val="20"/>
                <w:szCs w:val="20"/>
                <w:highlight w:val="yellow"/>
              </w:rPr>
              <w:t xml:space="preserve"> </w:t>
            </w:r>
            <w:proofErr w:type="spellStart"/>
            <w:r>
              <w:rPr>
                <w:rFonts w:cs="Arial"/>
                <w:sz w:val="20"/>
                <w:szCs w:val="20"/>
                <w:highlight w:val="yellow"/>
              </w:rPr>
              <w:t>x.x</w:t>
            </w:r>
            <w:proofErr w:type="spellEnd"/>
            <w:r w:rsidRPr="0028048C">
              <w:rPr>
                <w:rFonts w:cs="Arial"/>
                <w:sz w:val="20"/>
                <w:szCs w:val="20"/>
                <w:highlight w:val="yellow"/>
              </w:rPr>
              <w:t xml:space="preserve"> toegevoegd aan deze oplegnotitie.</w:t>
            </w:r>
            <w:r>
              <w:rPr>
                <w:rFonts w:cs="Arial"/>
                <w:sz w:val="20"/>
                <w:szCs w:val="20"/>
              </w:rPr>
              <w:t xml:space="preserve"> </w:t>
            </w:r>
          </w:p>
          <w:p w14:paraId="6ABFDB74" w14:textId="77777777" w:rsidR="0028048C" w:rsidRDefault="0028048C" w:rsidP="00683253">
            <w:pPr>
              <w:tabs>
                <w:tab w:val="left" w:pos="284"/>
              </w:tabs>
              <w:spacing w:line="276" w:lineRule="auto"/>
              <w:rPr>
                <w:rFonts w:cs="Arial"/>
                <w:sz w:val="20"/>
                <w:szCs w:val="20"/>
              </w:rPr>
            </w:pPr>
          </w:p>
          <w:p w14:paraId="4EC2D404" w14:textId="782D52B3" w:rsidR="0028048C" w:rsidRPr="0028048C" w:rsidRDefault="0028048C" w:rsidP="00683253">
            <w:pPr>
              <w:tabs>
                <w:tab w:val="left" w:pos="284"/>
              </w:tabs>
              <w:spacing w:line="276" w:lineRule="auto"/>
              <w:rPr>
                <w:rFonts w:cs="Arial"/>
                <w:b/>
                <w:bCs/>
                <w:i/>
                <w:iCs/>
                <w:sz w:val="20"/>
                <w:szCs w:val="20"/>
              </w:rPr>
            </w:pPr>
            <w:r w:rsidRPr="0028048C">
              <w:rPr>
                <w:rFonts w:cs="Arial"/>
                <w:b/>
                <w:bCs/>
                <w:i/>
                <w:iCs/>
                <w:sz w:val="20"/>
                <w:szCs w:val="20"/>
              </w:rPr>
              <w:t>Voortgang</w:t>
            </w:r>
          </w:p>
          <w:p w14:paraId="47BA27B8" w14:textId="77777777" w:rsidR="0028048C" w:rsidRDefault="0028048C" w:rsidP="00683253">
            <w:pPr>
              <w:tabs>
                <w:tab w:val="left" w:pos="284"/>
              </w:tabs>
              <w:spacing w:line="276" w:lineRule="auto"/>
              <w:rPr>
                <w:rFonts w:cs="Arial"/>
                <w:sz w:val="20"/>
                <w:szCs w:val="20"/>
              </w:rPr>
            </w:pPr>
          </w:p>
          <w:p w14:paraId="0DBDE8FB" w14:textId="234C7891" w:rsidR="0028048C" w:rsidRDefault="0028048C" w:rsidP="00683253">
            <w:pPr>
              <w:tabs>
                <w:tab w:val="left" w:pos="284"/>
              </w:tabs>
              <w:spacing w:line="276" w:lineRule="auto"/>
              <w:rPr>
                <w:rFonts w:cs="Arial"/>
                <w:sz w:val="20"/>
                <w:szCs w:val="20"/>
              </w:rPr>
            </w:pPr>
            <w:r>
              <w:rPr>
                <w:rFonts w:cs="Arial"/>
                <w:sz w:val="20"/>
                <w:szCs w:val="20"/>
              </w:rPr>
              <w:t xml:space="preserve">De Stadsregio Parkstad Limburg heeft inmiddels de casus verder uitgediept en een aantal belangrijke aspecten in een memo ter informatie aangeboden aan de BC-duurzaamheid (het inhoudelijke gremium) die bestuurlijk het proces rondom uw verzoek volgt. </w:t>
            </w:r>
          </w:p>
          <w:p w14:paraId="4DFA374A" w14:textId="1327EE33" w:rsidR="0028048C" w:rsidRDefault="0028048C" w:rsidP="00683253">
            <w:pPr>
              <w:tabs>
                <w:tab w:val="left" w:pos="284"/>
              </w:tabs>
              <w:spacing w:line="276" w:lineRule="auto"/>
              <w:rPr>
                <w:rFonts w:cs="Arial"/>
                <w:sz w:val="20"/>
                <w:szCs w:val="20"/>
              </w:rPr>
            </w:pPr>
          </w:p>
          <w:p w14:paraId="7DE9C59C" w14:textId="53B0E0FF" w:rsidR="0028048C" w:rsidRDefault="0028048C" w:rsidP="00683253">
            <w:pPr>
              <w:tabs>
                <w:tab w:val="left" w:pos="284"/>
              </w:tabs>
              <w:spacing w:line="276" w:lineRule="auto"/>
              <w:rPr>
                <w:rFonts w:cs="Arial"/>
                <w:sz w:val="20"/>
                <w:szCs w:val="20"/>
              </w:rPr>
            </w:pPr>
            <w:r>
              <w:rPr>
                <w:rFonts w:cs="Arial"/>
                <w:sz w:val="20"/>
                <w:szCs w:val="20"/>
              </w:rPr>
              <w:t xml:space="preserve">We willen u graag dezelfde informatie doen toekomen die de leden van de BC-duurzaamheid. </w:t>
            </w:r>
            <w:r w:rsidRPr="0028048C">
              <w:rPr>
                <w:rFonts w:cs="Arial"/>
                <w:sz w:val="20"/>
                <w:szCs w:val="20"/>
              </w:rPr>
              <w:t>Het memo (dat zojuist is besproken in de BC-duurzaamheid) is toegevoeg</w:t>
            </w:r>
            <w:r w:rsidRPr="0028048C">
              <w:rPr>
                <w:rFonts w:cs="Arial"/>
                <w:sz w:val="20"/>
                <w:szCs w:val="20"/>
                <w:highlight w:val="yellow"/>
              </w:rPr>
              <w:t xml:space="preserve">d als bijlage </w:t>
            </w:r>
            <w:proofErr w:type="spellStart"/>
            <w:r>
              <w:rPr>
                <w:rFonts w:cs="Arial"/>
                <w:sz w:val="20"/>
                <w:szCs w:val="20"/>
                <w:highlight w:val="yellow"/>
              </w:rPr>
              <w:t>x.x</w:t>
            </w:r>
            <w:proofErr w:type="spellEnd"/>
            <w:r>
              <w:rPr>
                <w:rFonts w:cs="Arial"/>
                <w:sz w:val="20"/>
                <w:szCs w:val="20"/>
                <w:highlight w:val="yellow"/>
              </w:rPr>
              <w:t xml:space="preserve"> </w:t>
            </w:r>
            <w:r w:rsidRPr="0028048C">
              <w:rPr>
                <w:rFonts w:cs="Arial"/>
                <w:sz w:val="20"/>
                <w:szCs w:val="20"/>
                <w:highlight w:val="yellow"/>
              </w:rPr>
              <w:t>van deze oplegnotitie.</w:t>
            </w:r>
          </w:p>
          <w:p w14:paraId="45203C40" w14:textId="00B4359A" w:rsidR="0028048C" w:rsidRDefault="0028048C" w:rsidP="00683253">
            <w:pPr>
              <w:tabs>
                <w:tab w:val="left" w:pos="284"/>
              </w:tabs>
              <w:spacing w:line="276" w:lineRule="auto"/>
              <w:rPr>
                <w:rFonts w:cs="Arial"/>
                <w:sz w:val="20"/>
                <w:szCs w:val="20"/>
              </w:rPr>
            </w:pPr>
          </w:p>
          <w:p w14:paraId="5B17FF14" w14:textId="77777777" w:rsidR="0028048C" w:rsidRDefault="0028048C" w:rsidP="00683253">
            <w:pPr>
              <w:tabs>
                <w:tab w:val="left" w:pos="284"/>
              </w:tabs>
              <w:spacing w:line="276" w:lineRule="auto"/>
              <w:rPr>
                <w:rFonts w:cs="Arial"/>
                <w:sz w:val="20"/>
                <w:szCs w:val="20"/>
              </w:rPr>
            </w:pPr>
            <w:r>
              <w:rPr>
                <w:rFonts w:cs="Arial"/>
                <w:sz w:val="20"/>
                <w:szCs w:val="20"/>
              </w:rPr>
              <w:t>De belangrijkste punten die in het memo worden aangestipt zijn:</w:t>
            </w:r>
          </w:p>
          <w:p w14:paraId="1C78F9F6" w14:textId="4AB9AC91" w:rsidR="0028048C" w:rsidRDefault="0028048C" w:rsidP="0028048C">
            <w:pPr>
              <w:pStyle w:val="Lijstalinea"/>
              <w:numPr>
                <w:ilvl w:val="0"/>
                <w:numId w:val="35"/>
              </w:numPr>
              <w:tabs>
                <w:tab w:val="left" w:pos="284"/>
              </w:tabs>
              <w:rPr>
                <w:rFonts w:cs="Arial"/>
                <w:sz w:val="20"/>
                <w:szCs w:val="20"/>
              </w:rPr>
            </w:pPr>
            <w:r>
              <w:rPr>
                <w:rFonts w:cs="Arial"/>
                <w:sz w:val="20"/>
                <w:szCs w:val="20"/>
              </w:rPr>
              <w:t>De GR-Parkstad dient te worden aangepast om het onderdeel water toe te voegen aan de kernagenda. Uw colleges dienen hier formeel een besluit over te nemen, uw raden kunnen hier zienswijzen op geven;</w:t>
            </w:r>
          </w:p>
          <w:p w14:paraId="182978F0" w14:textId="77777777" w:rsidR="0028048C" w:rsidRDefault="0028048C" w:rsidP="0028048C">
            <w:pPr>
              <w:pStyle w:val="Lijstalinea"/>
              <w:numPr>
                <w:ilvl w:val="0"/>
                <w:numId w:val="35"/>
              </w:numPr>
              <w:tabs>
                <w:tab w:val="left" w:pos="284"/>
              </w:tabs>
              <w:rPr>
                <w:rFonts w:cs="Arial"/>
                <w:sz w:val="20"/>
                <w:szCs w:val="20"/>
              </w:rPr>
            </w:pPr>
            <w:r>
              <w:rPr>
                <w:rFonts w:cs="Arial"/>
                <w:sz w:val="20"/>
                <w:szCs w:val="20"/>
              </w:rPr>
              <w:t>Om de samenwerking met de waterketenpartners vorm te geven wordt een herijkte samenwerkingsovereenkomst (SOK) in de vorm van een convenant (o.i.d.) geadviseerd. Hierbij fungeert de Stadsregio Parkstad Limburg als vertegenwoordiger van de 7 Parkstad gemeenten;</w:t>
            </w:r>
          </w:p>
          <w:p w14:paraId="7847A9A7" w14:textId="77777777" w:rsidR="0028048C" w:rsidRDefault="0028048C" w:rsidP="0028048C">
            <w:pPr>
              <w:pStyle w:val="Lijstalinea"/>
              <w:numPr>
                <w:ilvl w:val="0"/>
                <w:numId w:val="35"/>
              </w:numPr>
              <w:tabs>
                <w:tab w:val="left" w:pos="284"/>
              </w:tabs>
              <w:rPr>
                <w:rFonts w:cs="Arial"/>
                <w:sz w:val="20"/>
                <w:szCs w:val="20"/>
              </w:rPr>
            </w:pPr>
            <w:r>
              <w:rPr>
                <w:rFonts w:cs="Arial"/>
                <w:sz w:val="20"/>
                <w:szCs w:val="20"/>
              </w:rPr>
              <w:t>De besluitvormingsstructuur wordt toegelicht en een mogelijke inbedding van water in klimaatadaptatie bij de VC-ruimte wordt ter overweging meegegeven;</w:t>
            </w:r>
          </w:p>
          <w:p w14:paraId="486EB50E" w14:textId="103F9F77" w:rsidR="0028048C" w:rsidRPr="0028048C" w:rsidRDefault="0028048C" w:rsidP="00C37AD3">
            <w:pPr>
              <w:pStyle w:val="Lijstalinea"/>
              <w:numPr>
                <w:ilvl w:val="0"/>
                <w:numId w:val="35"/>
              </w:numPr>
              <w:tabs>
                <w:tab w:val="left" w:pos="284"/>
              </w:tabs>
              <w:rPr>
                <w:rFonts w:cs="Arial"/>
                <w:sz w:val="20"/>
                <w:szCs w:val="20"/>
              </w:rPr>
            </w:pPr>
            <w:r w:rsidRPr="0028048C">
              <w:rPr>
                <w:rFonts w:cs="Arial"/>
                <w:sz w:val="20"/>
                <w:szCs w:val="20"/>
              </w:rPr>
              <w:t xml:space="preserve">Om de taken en opgaven structureel op adequate wijze in te vullen, is naast een langjarig commitment van alle betrokken partijen (zie ook B) ook een structurele uitbreiding van de personele capaciteit van het regiobureau noodzakelijk. Enkel op die manier kan voldoende gekwalificeerd </w:t>
            </w:r>
            <w:proofErr w:type="gramStart"/>
            <w:r w:rsidRPr="0028048C">
              <w:rPr>
                <w:rFonts w:cs="Arial"/>
                <w:sz w:val="20"/>
                <w:szCs w:val="20"/>
              </w:rPr>
              <w:t>personeel  met</w:t>
            </w:r>
            <w:proofErr w:type="gramEnd"/>
            <w:r w:rsidRPr="0028048C">
              <w:rPr>
                <w:rFonts w:cs="Arial"/>
                <w:sz w:val="20"/>
                <w:szCs w:val="20"/>
              </w:rPr>
              <w:t xml:space="preserve"> de juiste competenties worden aangetrokken en vastgehouden. </w:t>
            </w:r>
          </w:p>
          <w:p w14:paraId="09041057" w14:textId="2BBF4BED" w:rsidR="0028048C" w:rsidRDefault="0028048C" w:rsidP="00683253">
            <w:pPr>
              <w:tabs>
                <w:tab w:val="left" w:pos="284"/>
              </w:tabs>
              <w:spacing w:line="276" w:lineRule="auto"/>
              <w:rPr>
                <w:rFonts w:cs="Arial"/>
                <w:sz w:val="20"/>
                <w:szCs w:val="20"/>
              </w:rPr>
            </w:pPr>
            <w:r>
              <w:rPr>
                <w:rFonts w:cs="Arial"/>
                <w:sz w:val="20"/>
                <w:szCs w:val="20"/>
              </w:rPr>
              <w:t>Wij vragen u kennis te nemen van de bijgevoegde memo.</w:t>
            </w:r>
          </w:p>
          <w:p w14:paraId="130306E5" w14:textId="73D54FE6" w:rsidR="00C93F4C" w:rsidRDefault="00EC4E46" w:rsidP="00E75F70">
            <w:pPr>
              <w:tabs>
                <w:tab w:val="left" w:pos="284"/>
              </w:tabs>
              <w:spacing w:line="276" w:lineRule="auto"/>
              <w:rPr>
                <w:rFonts w:cs="Arial"/>
                <w:sz w:val="20"/>
                <w:szCs w:val="20"/>
              </w:rPr>
            </w:pPr>
            <w:r>
              <w:rPr>
                <w:rFonts w:cs="Arial"/>
                <w:sz w:val="20"/>
                <w:szCs w:val="20"/>
              </w:rPr>
              <w:t xml:space="preserve"> </w:t>
            </w:r>
          </w:p>
          <w:p w14:paraId="5967292F" w14:textId="65A3C903" w:rsidR="0028048C" w:rsidRDefault="0028048C" w:rsidP="00E75F70">
            <w:pPr>
              <w:tabs>
                <w:tab w:val="left" w:pos="284"/>
              </w:tabs>
              <w:spacing w:line="276" w:lineRule="auto"/>
              <w:rPr>
                <w:rFonts w:cs="Arial"/>
                <w:sz w:val="20"/>
                <w:szCs w:val="20"/>
              </w:rPr>
            </w:pPr>
          </w:p>
          <w:p w14:paraId="5763693B" w14:textId="77777777" w:rsidR="0028048C" w:rsidRDefault="0028048C" w:rsidP="00E75F70">
            <w:pPr>
              <w:tabs>
                <w:tab w:val="left" w:pos="284"/>
              </w:tabs>
              <w:spacing w:line="276" w:lineRule="auto"/>
              <w:rPr>
                <w:rFonts w:cs="Arial"/>
                <w:sz w:val="20"/>
                <w:szCs w:val="20"/>
              </w:rPr>
            </w:pPr>
          </w:p>
          <w:p w14:paraId="6093F4DB" w14:textId="77777777" w:rsidR="00AE4013" w:rsidRPr="00335BDF" w:rsidRDefault="00AE4013" w:rsidP="00E75F70">
            <w:pPr>
              <w:tabs>
                <w:tab w:val="left" w:pos="284"/>
              </w:tabs>
              <w:rPr>
                <w:rFonts w:cs="Arial"/>
                <w:sz w:val="20"/>
                <w:szCs w:val="20"/>
                <w:lang w:eastAsia="nl-NL"/>
              </w:rPr>
            </w:pP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25F58226"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32C336BA" w:rsidR="00DC3497" w:rsidRPr="00D53B02" w:rsidRDefault="0028048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DC3497" w:rsidRPr="00D53B02">
              <w:rPr>
                <w:rFonts w:cs="Arial"/>
                <w:sz w:val="18"/>
                <w:szCs w:val="18"/>
              </w:rPr>
              <w:t xml:space="preserve"> opiniërend</w:t>
            </w:r>
          </w:p>
          <w:p w14:paraId="7FAE49CB" w14:textId="1D98C998" w:rsidR="00DC3497" w:rsidRPr="00D53B02" w:rsidRDefault="00EE020A"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adviserend</w:t>
            </w:r>
          </w:p>
          <w:p w14:paraId="5C51F930" w14:textId="14831EA7" w:rsidR="00DC3497" w:rsidRPr="00D53B02" w:rsidRDefault="0028048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FC492E" w:rsidRPr="00D53B02">
              <w:rPr>
                <w:rFonts w:cs="Arial"/>
                <w:sz w:val="18"/>
                <w:szCs w:val="18"/>
              </w:rPr>
              <w:t xml:space="preserve"> </w:t>
            </w:r>
            <w:r w:rsidRPr="00D53B02">
              <w:rPr>
                <w:rFonts w:cs="Arial"/>
                <w:sz w:val="18"/>
                <w:szCs w:val="18"/>
              </w:rPr>
              <w:t>besluitvormend/</w:t>
            </w:r>
            <w:r w:rsidR="00DC3497" w:rsidRPr="00D53B02">
              <w:rPr>
                <w:rFonts w:cs="Arial"/>
                <w:sz w:val="18"/>
                <w:szCs w:val="18"/>
              </w:rPr>
              <w:t xml:space="preserve">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379F8283" w14:textId="77777777"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7687894F" w14:textId="77777777" w:rsidR="00B479E9" w:rsidRDefault="00B479E9" w:rsidP="00B479E9">
            <w:pPr>
              <w:tabs>
                <w:tab w:val="left" w:pos="284"/>
              </w:tabs>
              <w:spacing w:line="276" w:lineRule="auto"/>
              <w:rPr>
                <w:rFonts w:cs="Arial"/>
                <w:sz w:val="18"/>
                <w:szCs w:val="18"/>
              </w:rPr>
            </w:pPr>
          </w:p>
          <w:p w14:paraId="425B02C5" w14:textId="1A74A27B" w:rsidR="00B479E9" w:rsidRPr="00D23BE7" w:rsidRDefault="0028048C" w:rsidP="00B479E9">
            <w:pPr>
              <w:tabs>
                <w:tab w:val="left" w:pos="284"/>
              </w:tabs>
              <w:spacing w:line="276" w:lineRule="auto"/>
              <w:rPr>
                <w:rFonts w:cs="Arial"/>
                <w:sz w:val="18"/>
                <w:szCs w:val="18"/>
              </w:rPr>
            </w:pPr>
            <w:r>
              <w:rPr>
                <w:rFonts w:cs="Arial"/>
                <w:sz w:val="18"/>
                <w:szCs w:val="18"/>
              </w:rPr>
              <w:t xml:space="preserve">De stuurgroep van de waterwerkregio Parkstad Limburg besluit: </w:t>
            </w:r>
          </w:p>
          <w:p w14:paraId="38860493" w14:textId="77777777" w:rsidR="00B479E9" w:rsidRPr="00D23BE7" w:rsidRDefault="00B479E9" w:rsidP="00B479E9">
            <w:pPr>
              <w:tabs>
                <w:tab w:val="left" w:pos="284"/>
              </w:tabs>
              <w:spacing w:line="276" w:lineRule="auto"/>
              <w:rPr>
                <w:rFonts w:cs="Arial"/>
                <w:sz w:val="18"/>
                <w:szCs w:val="18"/>
              </w:rPr>
            </w:pPr>
          </w:p>
          <w:p w14:paraId="20EAD33D" w14:textId="30C7BC36" w:rsidR="0028048C" w:rsidRDefault="00E75F70" w:rsidP="0028048C">
            <w:pPr>
              <w:numPr>
                <w:ilvl w:val="0"/>
                <w:numId w:val="27"/>
              </w:numPr>
              <w:tabs>
                <w:tab w:val="left" w:pos="284"/>
              </w:tabs>
              <w:spacing w:line="276" w:lineRule="auto"/>
              <w:rPr>
                <w:rFonts w:cs="Arial"/>
                <w:sz w:val="18"/>
                <w:szCs w:val="18"/>
              </w:rPr>
            </w:pPr>
            <w:r>
              <w:rPr>
                <w:rFonts w:cs="Arial"/>
                <w:sz w:val="18"/>
                <w:szCs w:val="18"/>
              </w:rPr>
              <w:t>Kennis</w:t>
            </w:r>
            <w:r w:rsidR="0028048C">
              <w:rPr>
                <w:rFonts w:cs="Arial"/>
                <w:sz w:val="18"/>
                <w:szCs w:val="18"/>
              </w:rPr>
              <w:t xml:space="preserve"> te </w:t>
            </w:r>
            <w:r>
              <w:rPr>
                <w:rFonts w:cs="Arial"/>
                <w:sz w:val="18"/>
                <w:szCs w:val="18"/>
              </w:rPr>
              <w:t>nemen van de notitie</w:t>
            </w:r>
            <w:r w:rsidR="0028048C">
              <w:rPr>
                <w:rFonts w:cs="Arial"/>
                <w:sz w:val="18"/>
                <w:szCs w:val="18"/>
              </w:rPr>
              <w:t xml:space="preserve"> van de Stadsregio </w:t>
            </w:r>
            <w:proofErr w:type="spellStart"/>
            <w:r w:rsidR="0028048C">
              <w:rPr>
                <w:rFonts w:cs="Arial"/>
                <w:sz w:val="18"/>
                <w:szCs w:val="18"/>
              </w:rPr>
              <w:t>Pakrstad</w:t>
            </w:r>
            <w:proofErr w:type="spellEnd"/>
            <w:r w:rsidR="0028048C">
              <w:rPr>
                <w:rFonts w:cs="Arial"/>
                <w:sz w:val="18"/>
                <w:szCs w:val="18"/>
              </w:rPr>
              <w:t xml:space="preserve"> Limburg </w:t>
            </w:r>
            <w:r w:rsidR="0028048C" w:rsidRPr="0028048C">
              <w:rPr>
                <w:rFonts w:cs="Arial"/>
                <w:sz w:val="18"/>
                <w:szCs w:val="18"/>
                <w:highlight w:val="yellow"/>
              </w:rPr>
              <w:t xml:space="preserve">(bijlage </w:t>
            </w:r>
            <w:proofErr w:type="spellStart"/>
            <w:r w:rsidR="0028048C" w:rsidRPr="0028048C">
              <w:rPr>
                <w:rFonts w:cs="Arial"/>
                <w:sz w:val="18"/>
                <w:szCs w:val="18"/>
                <w:highlight w:val="yellow"/>
              </w:rPr>
              <w:t>x.x</w:t>
            </w:r>
            <w:proofErr w:type="spellEnd"/>
            <w:r w:rsidR="0028048C" w:rsidRPr="0028048C">
              <w:rPr>
                <w:rFonts w:cs="Arial"/>
                <w:sz w:val="18"/>
                <w:szCs w:val="18"/>
                <w:highlight w:val="yellow"/>
              </w:rPr>
              <w:t>.).</w:t>
            </w:r>
          </w:p>
          <w:p w14:paraId="7D5EA88A" w14:textId="5CCEADDA" w:rsidR="004E4CC9" w:rsidRPr="002B2D5F" w:rsidRDefault="004E4CC9" w:rsidP="0028048C">
            <w:pPr>
              <w:tabs>
                <w:tab w:val="left" w:pos="284"/>
              </w:tabs>
              <w:spacing w:line="276" w:lineRule="auto"/>
              <w:ind w:left="720"/>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335991" w:rsidRDefault="00DC3497" w:rsidP="00667B52">
            <w:pPr>
              <w:spacing w:line="276" w:lineRule="auto"/>
              <w:contextualSpacing/>
              <w:rPr>
                <w:rFonts w:cs="Arial"/>
                <w:sz w:val="20"/>
              </w:rPr>
            </w:pPr>
            <w:r w:rsidRPr="00335991">
              <w:rPr>
                <w:rFonts w:cs="Arial"/>
                <w:sz w:val="20"/>
              </w:rPr>
              <w:t>Bijlage(n)</w:t>
            </w:r>
          </w:p>
        </w:tc>
        <w:tc>
          <w:tcPr>
            <w:tcW w:w="7433" w:type="dxa"/>
          </w:tcPr>
          <w:p w14:paraId="412E939D" w14:textId="59E79D36" w:rsidR="00DC3497" w:rsidRPr="00335991" w:rsidRDefault="00B479E9" w:rsidP="00667B52">
            <w:pPr>
              <w:spacing w:line="276" w:lineRule="auto"/>
              <w:contextualSpacing/>
              <w:rPr>
                <w:rFonts w:cs="Arial"/>
                <w:sz w:val="18"/>
                <w:szCs w:val="18"/>
              </w:rPr>
            </w:pPr>
            <w:r>
              <w:rPr>
                <w:rFonts w:cs="Arial"/>
                <w:sz w:val="18"/>
                <w:szCs w:val="18"/>
              </w:rPr>
              <w:t>n.v.t.</w:t>
            </w:r>
          </w:p>
        </w:tc>
      </w:tr>
      <w:tr w:rsidR="00DC3497" w:rsidRPr="00335991" w14:paraId="53F65878" w14:textId="77777777" w:rsidTr="00667B52">
        <w:trPr>
          <w:trHeight w:val="170"/>
        </w:trPr>
        <w:tc>
          <w:tcPr>
            <w:tcW w:w="1809" w:type="dxa"/>
          </w:tcPr>
          <w:p w14:paraId="1BEE6057" w14:textId="77777777" w:rsidR="00DC3497" w:rsidRPr="00335991" w:rsidRDefault="00DC3497" w:rsidP="00667B52">
            <w:pPr>
              <w:spacing w:line="276" w:lineRule="auto"/>
              <w:contextualSpacing/>
              <w:rPr>
                <w:rFonts w:cs="Arial"/>
                <w:sz w:val="20"/>
              </w:rPr>
            </w:pPr>
            <w:r w:rsidRPr="00335991">
              <w:rPr>
                <w:rFonts w:cs="Arial"/>
                <w:sz w:val="20"/>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sectPr w:rsidR="000F2A18"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8F97" w14:textId="77777777" w:rsidR="008C180C" w:rsidRDefault="008C180C">
      <w:r>
        <w:separator/>
      </w:r>
    </w:p>
  </w:endnote>
  <w:endnote w:type="continuationSeparator" w:id="0">
    <w:p w14:paraId="37882097" w14:textId="77777777" w:rsidR="008C180C" w:rsidRDefault="008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B164" w14:textId="77777777" w:rsidR="008C180C" w:rsidRDefault="008C180C">
      <w:r>
        <w:separator/>
      </w:r>
    </w:p>
  </w:footnote>
  <w:footnote w:type="continuationSeparator" w:id="0">
    <w:p w14:paraId="1EA05CC1" w14:textId="77777777" w:rsidR="008C180C" w:rsidRDefault="008C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6AAC9F33"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E02CD1">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F792C"/>
    <w:multiLevelType w:val="hybridMultilevel"/>
    <w:tmpl w:val="E4320E44"/>
    <w:lvl w:ilvl="0" w:tplc="F82C76DE">
      <w:start w:val="1"/>
      <w:numFmt w:val="upperLetter"/>
      <w:lvlText w:val="%1."/>
      <w:lvlJc w:val="left"/>
      <w:pPr>
        <w:ind w:left="1068" w:hanging="360"/>
      </w:pPr>
      <w:rPr>
        <w:rFonts w:hint="default"/>
      </w:rPr>
    </w:lvl>
    <w:lvl w:ilvl="1" w:tplc="04130019" w:tentative="1">
      <w:start w:val="1"/>
      <w:numFmt w:val="lowerLetter"/>
      <w:lvlText w:val="%2."/>
      <w:lvlJc w:val="left"/>
      <w:pPr>
        <w:ind w:left="1297" w:hanging="360"/>
      </w:pPr>
    </w:lvl>
    <w:lvl w:ilvl="2" w:tplc="0413001B" w:tentative="1">
      <w:start w:val="1"/>
      <w:numFmt w:val="lowerRoman"/>
      <w:lvlText w:val="%3."/>
      <w:lvlJc w:val="right"/>
      <w:pPr>
        <w:ind w:left="2017" w:hanging="180"/>
      </w:pPr>
    </w:lvl>
    <w:lvl w:ilvl="3" w:tplc="0413000F" w:tentative="1">
      <w:start w:val="1"/>
      <w:numFmt w:val="decimal"/>
      <w:lvlText w:val="%4."/>
      <w:lvlJc w:val="left"/>
      <w:pPr>
        <w:ind w:left="2737" w:hanging="360"/>
      </w:pPr>
    </w:lvl>
    <w:lvl w:ilvl="4" w:tplc="04130019" w:tentative="1">
      <w:start w:val="1"/>
      <w:numFmt w:val="lowerLetter"/>
      <w:lvlText w:val="%5."/>
      <w:lvlJc w:val="left"/>
      <w:pPr>
        <w:ind w:left="3457" w:hanging="360"/>
      </w:pPr>
    </w:lvl>
    <w:lvl w:ilvl="5" w:tplc="0413001B" w:tentative="1">
      <w:start w:val="1"/>
      <w:numFmt w:val="lowerRoman"/>
      <w:lvlText w:val="%6."/>
      <w:lvlJc w:val="right"/>
      <w:pPr>
        <w:ind w:left="4177" w:hanging="180"/>
      </w:pPr>
    </w:lvl>
    <w:lvl w:ilvl="6" w:tplc="0413000F" w:tentative="1">
      <w:start w:val="1"/>
      <w:numFmt w:val="decimal"/>
      <w:lvlText w:val="%7."/>
      <w:lvlJc w:val="left"/>
      <w:pPr>
        <w:ind w:left="4897" w:hanging="360"/>
      </w:pPr>
    </w:lvl>
    <w:lvl w:ilvl="7" w:tplc="04130019" w:tentative="1">
      <w:start w:val="1"/>
      <w:numFmt w:val="lowerLetter"/>
      <w:lvlText w:val="%8."/>
      <w:lvlJc w:val="left"/>
      <w:pPr>
        <w:ind w:left="5617" w:hanging="360"/>
      </w:pPr>
    </w:lvl>
    <w:lvl w:ilvl="8" w:tplc="0413001B" w:tentative="1">
      <w:start w:val="1"/>
      <w:numFmt w:val="lowerRoman"/>
      <w:lvlText w:val="%9."/>
      <w:lvlJc w:val="right"/>
      <w:pPr>
        <w:ind w:left="6337" w:hanging="180"/>
      </w:pPr>
    </w:lvl>
  </w:abstractNum>
  <w:abstractNum w:abstractNumId="4"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6"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B81679"/>
    <w:multiLevelType w:val="hybridMultilevel"/>
    <w:tmpl w:val="2E4ECB00"/>
    <w:lvl w:ilvl="0" w:tplc="0413000F">
      <w:start w:val="1"/>
      <w:numFmt w:val="decimal"/>
      <w:lvlText w:val="%1."/>
      <w:lvlJc w:val="left"/>
      <w:pPr>
        <w:ind w:left="1571" w:hanging="360"/>
      </w:p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1"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119030C"/>
    <w:multiLevelType w:val="hybridMultilevel"/>
    <w:tmpl w:val="AD44BAE2"/>
    <w:lvl w:ilvl="0" w:tplc="0413000F">
      <w:start w:val="1"/>
      <w:numFmt w:val="decimal"/>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7"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1561B"/>
    <w:multiLevelType w:val="hybridMultilevel"/>
    <w:tmpl w:val="FF2E52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33743A"/>
    <w:multiLevelType w:val="hybridMultilevel"/>
    <w:tmpl w:val="D466F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2"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5"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A16746"/>
    <w:multiLevelType w:val="hybridMultilevel"/>
    <w:tmpl w:val="CA605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840154"/>
    <w:multiLevelType w:val="hybridMultilevel"/>
    <w:tmpl w:val="376C7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461A07"/>
    <w:multiLevelType w:val="hybridMultilevel"/>
    <w:tmpl w:val="63C4BFB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1413889022">
    <w:abstractNumId w:val="14"/>
  </w:num>
  <w:num w:numId="2" w16cid:durableId="1991325876">
    <w:abstractNumId w:val="5"/>
  </w:num>
  <w:num w:numId="3" w16cid:durableId="271013081">
    <w:abstractNumId w:val="24"/>
  </w:num>
  <w:num w:numId="4" w16cid:durableId="782186715">
    <w:abstractNumId w:val="18"/>
  </w:num>
  <w:num w:numId="5" w16cid:durableId="1334642816">
    <w:abstractNumId w:val="22"/>
  </w:num>
  <w:num w:numId="6" w16cid:durableId="1835101045">
    <w:abstractNumId w:val="17"/>
  </w:num>
  <w:num w:numId="7" w16cid:durableId="4540571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6638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731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6261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5791083">
    <w:abstractNumId w:val="32"/>
  </w:num>
  <w:num w:numId="12" w16cid:durableId="524564742">
    <w:abstractNumId w:val="21"/>
  </w:num>
  <w:num w:numId="13" w16cid:durableId="2048599959">
    <w:abstractNumId w:val="0"/>
  </w:num>
  <w:num w:numId="14" w16cid:durableId="1139149540">
    <w:abstractNumId w:val="9"/>
  </w:num>
  <w:num w:numId="15" w16cid:durableId="113718772">
    <w:abstractNumId w:val="4"/>
  </w:num>
  <w:num w:numId="16" w16cid:durableId="1045368307">
    <w:abstractNumId w:val="2"/>
  </w:num>
  <w:num w:numId="17" w16cid:durableId="398746109">
    <w:abstractNumId w:val="27"/>
  </w:num>
  <w:num w:numId="18" w16cid:durableId="163403875">
    <w:abstractNumId w:val="6"/>
  </w:num>
  <w:num w:numId="19" w16cid:durableId="315958826">
    <w:abstractNumId w:val="34"/>
  </w:num>
  <w:num w:numId="20" w16cid:durableId="1320304138">
    <w:abstractNumId w:val="29"/>
  </w:num>
  <w:num w:numId="21" w16cid:durableId="1450471034">
    <w:abstractNumId w:val="25"/>
  </w:num>
  <w:num w:numId="22" w16cid:durableId="1331524085">
    <w:abstractNumId w:val="1"/>
  </w:num>
  <w:num w:numId="23" w16cid:durableId="1985885277">
    <w:abstractNumId w:val="11"/>
  </w:num>
  <w:num w:numId="24" w16cid:durableId="1646740634">
    <w:abstractNumId w:val="33"/>
  </w:num>
  <w:num w:numId="25" w16cid:durableId="824660356">
    <w:abstractNumId w:val="8"/>
  </w:num>
  <w:num w:numId="26" w16cid:durableId="1118839487">
    <w:abstractNumId w:val="13"/>
  </w:num>
  <w:num w:numId="27" w16cid:durableId="1446804379">
    <w:abstractNumId w:val="23"/>
  </w:num>
  <w:num w:numId="28" w16cid:durableId="1731422223">
    <w:abstractNumId w:val="19"/>
  </w:num>
  <w:num w:numId="29" w16cid:durableId="1280261318">
    <w:abstractNumId w:val="26"/>
  </w:num>
  <w:num w:numId="30" w16cid:durableId="1106004100">
    <w:abstractNumId w:val="20"/>
  </w:num>
  <w:num w:numId="31" w16cid:durableId="812327864">
    <w:abstractNumId w:val="30"/>
  </w:num>
  <w:num w:numId="32" w16cid:durableId="2038122498">
    <w:abstractNumId w:val="16"/>
  </w:num>
  <w:num w:numId="33" w16cid:durableId="1479153517">
    <w:abstractNumId w:val="3"/>
  </w:num>
  <w:num w:numId="34" w16cid:durableId="1023171990">
    <w:abstractNumId w:val="10"/>
  </w:num>
  <w:num w:numId="35" w16cid:durableId="19743631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645"/>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10"/>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D3A"/>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2EDC"/>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9A5"/>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59"/>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750"/>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198"/>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09E"/>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48C"/>
    <w:rsid w:val="002808AB"/>
    <w:rsid w:val="00280929"/>
    <w:rsid w:val="00280C78"/>
    <w:rsid w:val="00280E82"/>
    <w:rsid w:val="00281276"/>
    <w:rsid w:val="00281743"/>
    <w:rsid w:val="00281E0A"/>
    <w:rsid w:val="00281E8E"/>
    <w:rsid w:val="00282041"/>
    <w:rsid w:val="002820AB"/>
    <w:rsid w:val="002820AF"/>
    <w:rsid w:val="00282289"/>
    <w:rsid w:val="002824C6"/>
    <w:rsid w:val="00282775"/>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3E"/>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6ECA"/>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0D8"/>
    <w:rsid w:val="002F577F"/>
    <w:rsid w:val="002F5B70"/>
    <w:rsid w:val="002F6050"/>
    <w:rsid w:val="002F621B"/>
    <w:rsid w:val="002F63D6"/>
    <w:rsid w:val="002F66ED"/>
    <w:rsid w:val="002F66F6"/>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BDF"/>
    <w:rsid w:val="00335C43"/>
    <w:rsid w:val="00336426"/>
    <w:rsid w:val="00336933"/>
    <w:rsid w:val="00336F90"/>
    <w:rsid w:val="003371F0"/>
    <w:rsid w:val="00337748"/>
    <w:rsid w:val="00337ABD"/>
    <w:rsid w:val="00337C8C"/>
    <w:rsid w:val="003400A3"/>
    <w:rsid w:val="003406F6"/>
    <w:rsid w:val="003408F0"/>
    <w:rsid w:val="00340CA5"/>
    <w:rsid w:val="00340F7F"/>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88A"/>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DC8"/>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0FE7"/>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E4B"/>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631"/>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CC9"/>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37E9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E73"/>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145"/>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812"/>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798"/>
    <w:rsid w:val="00636804"/>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58E"/>
    <w:rsid w:val="00646AC2"/>
    <w:rsid w:val="00646B82"/>
    <w:rsid w:val="00646D4F"/>
    <w:rsid w:val="00646DDC"/>
    <w:rsid w:val="00646EA8"/>
    <w:rsid w:val="00647503"/>
    <w:rsid w:val="00647990"/>
    <w:rsid w:val="00647E65"/>
    <w:rsid w:val="00650098"/>
    <w:rsid w:val="00650340"/>
    <w:rsid w:val="00650DFC"/>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53"/>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140"/>
    <w:rsid w:val="006C4349"/>
    <w:rsid w:val="006C4633"/>
    <w:rsid w:val="006C4CC1"/>
    <w:rsid w:val="006C4E64"/>
    <w:rsid w:val="006C5556"/>
    <w:rsid w:val="006C55E1"/>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940"/>
    <w:rsid w:val="006F0B3A"/>
    <w:rsid w:val="006F0CEB"/>
    <w:rsid w:val="006F142C"/>
    <w:rsid w:val="006F2253"/>
    <w:rsid w:val="006F2338"/>
    <w:rsid w:val="006F25A5"/>
    <w:rsid w:val="006F278C"/>
    <w:rsid w:val="006F2949"/>
    <w:rsid w:val="006F299D"/>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5A1"/>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620"/>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59D"/>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87E"/>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36C"/>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11F"/>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5E5B"/>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169"/>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07C"/>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78"/>
    <w:rsid w:val="008850AA"/>
    <w:rsid w:val="00885514"/>
    <w:rsid w:val="00885B65"/>
    <w:rsid w:val="0088628A"/>
    <w:rsid w:val="00886ED2"/>
    <w:rsid w:val="00886F98"/>
    <w:rsid w:val="00887B7C"/>
    <w:rsid w:val="00887BB0"/>
    <w:rsid w:val="008900B2"/>
    <w:rsid w:val="008905DC"/>
    <w:rsid w:val="0089099B"/>
    <w:rsid w:val="00890CA7"/>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80C"/>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464"/>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EFB"/>
    <w:rsid w:val="0091554A"/>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8DE"/>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503"/>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D90"/>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D3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16"/>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636D"/>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D56"/>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27A"/>
    <w:rsid w:val="00AF7490"/>
    <w:rsid w:val="00AF74D9"/>
    <w:rsid w:val="00AF7517"/>
    <w:rsid w:val="00AF7A6C"/>
    <w:rsid w:val="00B0008C"/>
    <w:rsid w:val="00B00411"/>
    <w:rsid w:val="00B00528"/>
    <w:rsid w:val="00B01008"/>
    <w:rsid w:val="00B01134"/>
    <w:rsid w:val="00B016B0"/>
    <w:rsid w:val="00B01D3D"/>
    <w:rsid w:val="00B02221"/>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3B45"/>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413"/>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157"/>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9F4"/>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B79"/>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0370"/>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3F38"/>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3F4C"/>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152"/>
    <w:rsid w:val="00D556F6"/>
    <w:rsid w:val="00D55B04"/>
    <w:rsid w:val="00D55BE9"/>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0FA7"/>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BD3"/>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2CD1"/>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EC2"/>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563"/>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5F70"/>
    <w:rsid w:val="00E761A1"/>
    <w:rsid w:val="00E76594"/>
    <w:rsid w:val="00E76A82"/>
    <w:rsid w:val="00E76EAA"/>
    <w:rsid w:val="00E7705F"/>
    <w:rsid w:val="00E7711E"/>
    <w:rsid w:val="00E773FF"/>
    <w:rsid w:val="00E77529"/>
    <w:rsid w:val="00E77638"/>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4E46"/>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20A"/>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819"/>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D25"/>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6D3B"/>
    <w:rsid w:val="00FA7119"/>
    <w:rsid w:val="00FA745F"/>
    <w:rsid w:val="00FA75E1"/>
    <w:rsid w:val="00FA7BA2"/>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238249113">
      <w:bodyDiv w:val="1"/>
      <w:marLeft w:val="0"/>
      <w:marRight w:val="0"/>
      <w:marTop w:val="0"/>
      <w:marBottom w:val="0"/>
      <w:divBdr>
        <w:top w:val="none" w:sz="0" w:space="0" w:color="auto"/>
        <w:left w:val="none" w:sz="0" w:space="0" w:color="auto"/>
        <w:bottom w:val="none" w:sz="0" w:space="0" w:color="auto"/>
        <w:right w:val="none" w:sz="0" w:space="0" w:color="auto"/>
      </w:divBdr>
      <w:divsChild>
        <w:div w:id="63459814">
          <w:marLeft w:val="0"/>
          <w:marRight w:val="0"/>
          <w:marTop w:val="0"/>
          <w:marBottom w:val="0"/>
          <w:divBdr>
            <w:top w:val="none" w:sz="0" w:space="0" w:color="auto"/>
            <w:left w:val="none" w:sz="0" w:space="0" w:color="auto"/>
            <w:bottom w:val="none" w:sz="0" w:space="0" w:color="auto"/>
            <w:right w:val="none" w:sz="0" w:space="0" w:color="auto"/>
          </w:divBdr>
          <w:divsChild>
            <w:div w:id="1009454861">
              <w:marLeft w:val="0"/>
              <w:marRight w:val="0"/>
              <w:marTop w:val="0"/>
              <w:marBottom w:val="0"/>
              <w:divBdr>
                <w:top w:val="none" w:sz="0" w:space="0" w:color="auto"/>
                <w:left w:val="none" w:sz="0" w:space="0" w:color="auto"/>
                <w:bottom w:val="none" w:sz="0" w:space="0" w:color="auto"/>
                <w:right w:val="none" w:sz="0" w:space="0" w:color="auto"/>
              </w:divBdr>
              <w:divsChild>
                <w:div w:id="2132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1390">
          <w:marLeft w:val="0"/>
          <w:marRight w:val="0"/>
          <w:marTop w:val="0"/>
          <w:marBottom w:val="0"/>
          <w:divBdr>
            <w:top w:val="none" w:sz="0" w:space="0" w:color="auto"/>
            <w:left w:val="none" w:sz="0" w:space="0" w:color="auto"/>
            <w:bottom w:val="none" w:sz="0" w:space="0" w:color="auto"/>
            <w:right w:val="none" w:sz="0" w:space="0" w:color="auto"/>
          </w:divBdr>
          <w:divsChild>
            <w:div w:id="889414591">
              <w:marLeft w:val="0"/>
              <w:marRight w:val="0"/>
              <w:marTop w:val="0"/>
              <w:marBottom w:val="0"/>
              <w:divBdr>
                <w:top w:val="none" w:sz="0" w:space="0" w:color="auto"/>
                <w:left w:val="none" w:sz="0" w:space="0" w:color="auto"/>
                <w:bottom w:val="none" w:sz="0" w:space="0" w:color="auto"/>
                <w:right w:val="none" w:sz="0" w:space="0" w:color="auto"/>
              </w:divBdr>
              <w:divsChild>
                <w:div w:id="770511161">
                  <w:marLeft w:val="0"/>
                  <w:marRight w:val="0"/>
                  <w:marTop w:val="0"/>
                  <w:marBottom w:val="0"/>
                  <w:divBdr>
                    <w:top w:val="none" w:sz="0" w:space="0" w:color="auto"/>
                    <w:left w:val="none" w:sz="0" w:space="0" w:color="auto"/>
                    <w:bottom w:val="none" w:sz="0" w:space="0" w:color="auto"/>
                    <w:right w:val="none" w:sz="0" w:space="0" w:color="auto"/>
                  </w:divBdr>
                  <w:divsChild>
                    <w:div w:id="1144733048">
                      <w:marLeft w:val="0"/>
                      <w:marRight w:val="0"/>
                      <w:marTop w:val="0"/>
                      <w:marBottom w:val="0"/>
                      <w:divBdr>
                        <w:top w:val="none" w:sz="0" w:space="0" w:color="auto"/>
                        <w:left w:val="none" w:sz="0" w:space="0" w:color="auto"/>
                        <w:bottom w:val="none" w:sz="0" w:space="0" w:color="auto"/>
                        <w:right w:val="none" w:sz="0" w:space="0" w:color="auto"/>
                      </w:divBdr>
                      <w:divsChild>
                        <w:div w:id="46954439">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 w:id="298001054">
      <w:bodyDiv w:val="1"/>
      <w:marLeft w:val="0"/>
      <w:marRight w:val="0"/>
      <w:marTop w:val="0"/>
      <w:marBottom w:val="0"/>
      <w:divBdr>
        <w:top w:val="none" w:sz="0" w:space="0" w:color="auto"/>
        <w:left w:val="none" w:sz="0" w:space="0" w:color="auto"/>
        <w:bottom w:val="none" w:sz="0" w:space="0" w:color="auto"/>
        <w:right w:val="none" w:sz="0" w:space="0" w:color="auto"/>
      </w:divBdr>
    </w:div>
    <w:div w:id="365374397">
      <w:bodyDiv w:val="1"/>
      <w:marLeft w:val="0"/>
      <w:marRight w:val="0"/>
      <w:marTop w:val="0"/>
      <w:marBottom w:val="0"/>
      <w:divBdr>
        <w:top w:val="none" w:sz="0" w:space="0" w:color="auto"/>
        <w:left w:val="none" w:sz="0" w:space="0" w:color="auto"/>
        <w:bottom w:val="none" w:sz="0" w:space="0" w:color="auto"/>
        <w:right w:val="none" w:sz="0" w:space="0" w:color="auto"/>
      </w:divBdr>
      <w:divsChild>
        <w:div w:id="784739090">
          <w:marLeft w:val="0"/>
          <w:marRight w:val="0"/>
          <w:marTop w:val="0"/>
          <w:marBottom w:val="0"/>
          <w:divBdr>
            <w:top w:val="none" w:sz="0" w:space="0" w:color="auto"/>
            <w:left w:val="none" w:sz="0" w:space="0" w:color="auto"/>
            <w:bottom w:val="none" w:sz="0" w:space="0" w:color="auto"/>
            <w:right w:val="none" w:sz="0" w:space="0" w:color="auto"/>
          </w:divBdr>
          <w:divsChild>
            <w:div w:id="919103403">
              <w:marLeft w:val="0"/>
              <w:marRight w:val="0"/>
              <w:marTop w:val="0"/>
              <w:marBottom w:val="0"/>
              <w:divBdr>
                <w:top w:val="none" w:sz="0" w:space="0" w:color="auto"/>
                <w:left w:val="none" w:sz="0" w:space="0" w:color="auto"/>
                <w:bottom w:val="none" w:sz="0" w:space="0" w:color="auto"/>
                <w:right w:val="none" w:sz="0" w:space="0" w:color="auto"/>
              </w:divBdr>
              <w:divsChild>
                <w:div w:id="804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796">
          <w:marLeft w:val="0"/>
          <w:marRight w:val="0"/>
          <w:marTop w:val="0"/>
          <w:marBottom w:val="0"/>
          <w:divBdr>
            <w:top w:val="none" w:sz="0" w:space="0" w:color="auto"/>
            <w:left w:val="none" w:sz="0" w:space="0" w:color="auto"/>
            <w:bottom w:val="none" w:sz="0" w:space="0" w:color="auto"/>
            <w:right w:val="none" w:sz="0" w:space="0" w:color="auto"/>
          </w:divBdr>
          <w:divsChild>
            <w:div w:id="9380600">
              <w:marLeft w:val="0"/>
              <w:marRight w:val="0"/>
              <w:marTop w:val="0"/>
              <w:marBottom w:val="0"/>
              <w:divBdr>
                <w:top w:val="none" w:sz="0" w:space="0" w:color="auto"/>
                <w:left w:val="none" w:sz="0" w:space="0" w:color="auto"/>
                <w:bottom w:val="none" w:sz="0" w:space="0" w:color="auto"/>
                <w:right w:val="none" w:sz="0" w:space="0" w:color="auto"/>
              </w:divBdr>
              <w:divsChild>
                <w:div w:id="2057460078">
                  <w:marLeft w:val="0"/>
                  <w:marRight w:val="0"/>
                  <w:marTop w:val="0"/>
                  <w:marBottom w:val="0"/>
                  <w:divBdr>
                    <w:top w:val="none" w:sz="0" w:space="0" w:color="auto"/>
                    <w:left w:val="none" w:sz="0" w:space="0" w:color="auto"/>
                    <w:bottom w:val="none" w:sz="0" w:space="0" w:color="auto"/>
                    <w:right w:val="none" w:sz="0" w:space="0" w:color="auto"/>
                  </w:divBdr>
                  <w:divsChild>
                    <w:div w:id="1947538740">
                      <w:marLeft w:val="0"/>
                      <w:marRight w:val="0"/>
                      <w:marTop w:val="0"/>
                      <w:marBottom w:val="0"/>
                      <w:divBdr>
                        <w:top w:val="none" w:sz="0" w:space="0" w:color="auto"/>
                        <w:left w:val="none" w:sz="0" w:space="0" w:color="auto"/>
                        <w:bottom w:val="none" w:sz="0" w:space="0" w:color="auto"/>
                        <w:right w:val="none" w:sz="0" w:space="0" w:color="auto"/>
                      </w:divBdr>
                      <w:divsChild>
                        <w:div w:id="1755858338">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 w:id="470055943">
      <w:bodyDiv w:val="1"/>
      <w:marLeft w:val="0"/>
      <w:marRight w:val="0"/>
      <w:marTop w:val="0"/>
      <w:marBottom w:val="0"/>
      <w:divBdr>
        <w:top w:val="none" w:sz="0" w:space="0" w:color="auto"/>
        <w:left w:val="none" w:sz="0" w:space="0" w:color="auto"/>
        <w:bottom w:val="none" w:sz="0" w:space="0" w:color="auto"/>
        <w:right w:val="none" w:sz="0" w:space="0" w:color="auto"/>
      </w:divBdr>
    </w:div>
    <w:div w:id="490213815">
      <w:bodyDiv w:val="1"/>
      <w:marLeft w:val="0"/>
      <w:marRight w:val="0"/>
      <w:marTop w:val="0"/>
      <w:marBottom w:val="0"/>
      <w:divBdr>
        <w:top w:val="none" w:sz="0" w:space="0" w:color="auto"/>
        <w:left w:val="none" w:sz="0" w:space="0" w:color="auto"/>
        <w:bottom w:val="none" w:sz="0" w:space="0" w:color="auto"/>
        <w:right w:val="none" w:sz="0" w:space="0" w:color="auto"/>
      </w:divBdr>
    </w:div>
    <w:div w:id="597249543">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04991685">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4680281">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113011859">
      <w:bodyDiv w:val="1"/>
      <w:marLeft w:val="0"/>
      <w:marRight w:val="0"/>
      <w:marTop w:val="0"/>
      <w:marBottom w:val="0"/>
      <w:divBdr>
        <w:top w:val="none" w:sz="0" w:space="0" w:color="auto"/>
        <w:left w:val="none" w:sz="0" w:space="0" w:color="auto"/>
        <w:bottom w:val="none" w:sz="0" w:space="0" w:color="auto"/>
        <w:right w:val="none" w:sz="0" w:space="0" w:color="auto"/>
      </w:divBdr>
      <w:divsChild>
        <w:div w:id="1399867543">
          <w:marLeft w:val="0"/>
          <w:marRight w:val="0"/>
          <w:marTop w:val="0"/>
          <w:marBottom w:val="0"/>
          <w:divBdr>
            <w:top w:val="none" w:sz="0" w:space="0" w:color="auto"/>
            <w:left w:val="none" w:sz="0" w:space="0" w:color="auto"/>
            <w:bottom w:val="none" w:sz="0" w:space="0" w:color="auto"/>
            <w:right w:val="none" w:sz="0" w:space="0" w:color="auto"/>
          </w:divBdr>
          <w:divsChild>
            <w:div w:id="11303043">
              <w:marLeft w:val="0"/>
              <w:marRight w:val="0"/>
              <w:marTop w:val="0"/>
              <w:marBottom w:val="0"/>
              <w:divBdr>
                <w:top w:val="none" w:sz="0" w:space="0" w:color="auto"/>
                <w:left w:val="none" w:sz="0" w:space="0" w:color="auto"/>
                <w:bottom w:val="none" w:sz="0" w:space="0" w:color="auto"/>
                <w:right w:val="none" w:sz="0" w:space="0" w:color="auto"/>
              </w:divBdr>
              <w:divsChild>
                <w:div w:id="7118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177">
          <w:marLeft w:val="0"/>
          <w:marRight w:val="0"/>
          <w:marTop w:val="0"/>
          <w:marBottom w:val="0"/>
          <w:divBdr>
            <w:top w:val="none" w:sz="0" w:space="0" w:color="auto"/>
            <w:left w:val="none" w:sz="0" w:space="0" w:color="auto"/>
            <w:bottom w:val="none" w:sz="0" w:space="0" w:color="auto"/>
            <w:right w:val="none" w:sz="0" w:space="0" w:color="auto"/>
          </w:divBdr>
          <w:divsChild>
            <w:div w:id="313070099">
              <w:marLeft w:val="0"/>
              <w:marRight w:val="0"/>
              <w:marTop w:val="0"/>
              <w:marBottom w:val="0"/>
              <w:divBdr>
                <w:top w:val="none" w:sz="0" w:space="0" w:color="auto"/>
                <w:left w:val="none" w:sz="0" w:space="0" w:color="auto"/>
                <w:bottom w:val="none" w:sz="0" w:space="0" w:color="auto"/>
                <w:right w:val="none" w:sz="0" w:space="0" w:color="auto"/>
              </w:divBdr>
              <w:divsChild>
                <w:div w:id="918176713">
                  <w:marLeft w:val="0"/>
                  <w:marRight w:val="0"/>
                  <w:marTop w:val="0"/>
                  <w:marBottom w:val="0"/>
                  <w:divBdr>
                    <w:top w:val="none" w:sz="0" w:space="0" w:color="auto"/>
                    <w:left w:val="none" w:sz="0" w:space="0" w:color="auto"/>
                    <w:bottom w:val="none" w:sz="0" w:space="0" w:color="auto"/>
                    <w:right w:val="none" w:sz="0" w:space="0" w:color="auto"/>
                  </w:divBdr>
                  <w:divsChild>
                    <w:div w:id="171841943">
                      <w:marLeft w:val="0"/>
                      <w:marRight w:val="0"/>
                      <w:marTop w:val="0"/>
                      <w:marBottom w:val="0"/>
                      <w:divBdr>
                        <w:top w:val="none" w:sz="0" w:space="0" w:color="auto"/>
                        <w:left w:val="none" w:sz="0" w:space="0" w:color="auto"/>
                        <w:bottom w:val="none" w:sz="0" w:space="0" w:color="auto"/>
                        <w:right w:val="none" w:sz="0" w:space="0" w:color="auto"/>
                      </w:divBdr>
                      <w:divsChild>
                        <w:div w:id="1905677785">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 w:id="1126509224">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423993035">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779717438">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 w:id="21391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389</Words>
  <Characters>2144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3</cp:revision>
  <cp:lastPrinted>2020-09-02T08:47:00Z</cp:lastPrinted>
  <dcterms:created xsi:type="dcterms:W3CDTF">2022-07-11T08:26:00Z</dcterms:created>
  <dcterms:modified xsi:type="dcterms:W3CDTF">2022-07-11T09:18:00Z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