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574"/>
      </w:tblGrid>
      <w:tr w:rsidR="00DC3497" w:rsidRPr="00683271" w14:paraId="667CEEC3" w14:textId="77777777" w:rsidTr="0072585E">
        <w:tc>
          <w:tcPr>
            <w:tcW w:w="9242" w:type="dxa"/>
            <w:gridSpan w:val="2"/>
          </w:tcPr>
          <w:p w14:paraId="72CBF88A" w14:textId="77777777" w:rsidR="00C773EC" w:rsidRPr="00503A0D" w:rsidRDefault="00C773EC" w:rsidP="00A82659">
            <w:pPr>
              <w:rPr>
                <w:rFonts w:cs="Arial"/>
                <w:caps/>
              </w:rPr>
            </w:pPr>
          </w:p>
          <w:p w14:paraId="160ABF25" w14:textId="0F3FC37D" w:rsidR="00DC3497" w:rsidRPr="00503A0D" w:rsidRDefault="00C773EC" w:rsidP="00A82659">
            <w:pPr>
              <w:rPr>
                <w:rFonts w:cs="Arial"/>
                <w:b/>
                <w:caps/>
                <w:sz w:val="24"/>
              </w:rPr>
            </w:pPr>
            <w:r w:rsidRPr="00503A0D">
              <w:rPr>
                <w:rFonts w:cs="Arial"/>
                <w:b/>
                <w:caps/>
                <w:sz w:val="24"/>
              </w:rPr>
              <w:t>S</w:t>
            </w:r>
            <w:r w:rsidR="00CC29E5" w:rsidRPr="00503A0D">
              <w:rPr>
                <w:rFonts w:cs="Arial"/>
                <w:b/>
                <w:caps/>
                <w:sz w:val="24"/>
              </w:rPr>
              <w:t>T</w:t>
            </w:r>
            <w:r w:rsidRPr="00503A0D">
              <w:rPr>
                <w:rFonts w:cs="Arial"/>
                <w:b/>
                <w:caps/>
                <w:sz w:val="24"/>
              </w:rPr>
              <w:t xml:space="preserve">uurgroep </w:t>
            </w:r>
            <w:r w:rsidR="001F7594">
              <w:rPr>
                <w:rFonts w:cs="Arial"/>
                <w:b/>
                <w:caps/>
                <w:sz w:val="24"/>
              </w:rPr>
              <w:t>SAMENWERKINGSVERBAND WATER Parkstad</w:t>
            </w:r>
          </w:p>
          <w:p w14:paraId="3553AF68" w14:textId="77777777" w:rsidR="00DC3497" w:rsidRPr="00503A0D" w:rsidRDefault="00DC3497" w:rsidP="00A82659">
            <w:pPr>
              <w:rPr>
                <w:rFonts w:cs="Arial"/>
              </w:rPr>
            </w:pPr>
          </w:p>
        </w:tc>
      </w:tr>
      <w:tr w:rsidR="00DC3497" w:rsidRPr="00683271" w14:paraId="33B87AF9" w14:textId="77777777" w:rsidTr="00503A0D">
        <w:tc>
          <w:tcPr>
            <w:tcW w:w="1668" w:type="dxa"/>
          </w:tcPr>
          <w:p w14:paraId="61E0A1B4" w14:textId="77777777" w:rsidR="00DC3497" w:rsidRPr="00503A0D" w:rsidRDefault="00DC3497" w:rsidP="000F2A18">
            <w:pPr>
              <w:contextualSpacing/>
              <w:rPr>
                <w:rFonts w:cs="Arial"/>
                <w:sz w:val="18"/>
                <w:szCs w:val="18"/>
              </w:rPr>
            </w:pPr>
            <w:r w:rsidRPr="00503A0D">
              <w:rPr>
                <w:rFonts w:cs="Arial"/>
                <w:sz w:val="18"/>
                <w:szCs w:val="18"/>
              </w:rPr>
              <w:t>Datum</w:t>
            </w:r>
          </w:p>
        </w:tc>
        <w:tc>
          <w:tcPr>
            <w:tcW w:w="7574" w:type="dxa"/>
          </w:tcPr>
          <w:p w14:paraId="01A861B1" w14:textId="0CD66F1E" w:rsidR="00DC3497" w:rsidRPr="00503A0D" w:rsidRDefault="00297D4E" w:rsidP="00D44DCE">
            <w:pPr>
              <w:contextualSpacing/>
              <w:rPr>
                <w:rFonts w:cs="Arial"/>
                <w:sz w:val="18"/>
                <w:szCs w:val="18"/>
              </w:rPr>
            </w:pPr>
            <w:r w:rsidRPr="00503A0D">
              <w:rPr>
                <w:rFonts w:cs="Arial"/>
                <w:sz w:val="18"/>
                <w:szCs w:val="18"/>
              </w:rPr>
              <w:t>2</w:t>
            </w:r>
            <w:r w:rsidR="001F7594">
              <w:rPr>
                <w:rFonts w:cs="Arial"/>
                <w:sz w:val="18"/>
                <w:szCs w:val="18"/>
              </w:rPr>
              <w:t>0 juli 2022</w:t>
            </w:r>
          </w:p>
        </w:tc>
      </w:tr>
      <w:tr w:rsidR="00DC3497" w:rsidRPr="00683271" w14:paraId="6A02CD07" w14:textId="77777777" w:rsidTr="00503A0D">
        <w:tc>
          <w:tcPr>
            <w:tcW w:w="1668" w:type="dxa"/>
          </w:tcPr>
          <w:p w14:paraId="47527AB9" w14:textId="77777777" w:rsidR="00DC3497" w:rsidRPr="00503A0D" w:rsidRDefault="00DC3497" w:rsidP="000F2A18">
            <w:pPr>
              <w:contextualSpacing/>
              <w:rPr>
                <w:rFonts w:cs="Arial"/>
                <w:sz w:val="18"/>
                <w:szCs w:val="18"/>
              </w:rPr>
            </w:pPr>
            <w:r w:rsidRPr="00503A0D">
              <w:rPr>
                <w:rFonts w:cs="Arial"/>
                <w:sz w:val="18"/>
                <w:szCs w:val="18"/>
              </w:rPr>
              <w:t>Agendapunt</w:t>
            </w:r>
          </w:p>
        </w:tc>
        <w:tc>
          <w:tcPr>
            <w:tcW w:w="7574" w:type="dxa"/>
          </w:tcPr>
          <w:p w14:paraId="423AEF80" w14:textId="32DFE801" w:rsidR="00DC3497" w:rsidRPr="00503A0D" w:rsidRDefault="001F7594" w:rsidP="00597144">
            <w:pPr>
              <w:contextualSpacing/>
              <w:rPr>
                <w:rFonts w:cs="Arial"/>
                <w:sz w:val="18"/>
                <w:szCs w:val="18"/>
              </w:rPr>
            </w:pPr>
            <w:r>
              <w:rPr>
                <w:rFonts w:cs="Arial"/>
                <w:sz w:val="18"/>
                <w:szCs w:val="18"/>
              </w:rPr>
              <w:t>8</w:t>
            </w:r>
          </w:p>
        </w:tc>
      </w:tr>
      <w:tr w:rsidR="004A63D9" w:rsidRPr="00683271" w14:paraId="0A5CA593" w14:textId="77777777" w:rsidTr="00503A0D">
        <w:tc>
          <w:tcPr>
            <w:tcW w:w="1668" w:type="dxa"/>
          </w:tcPr>
          <w:p w14:paraId="088062FB" w14:textId="77777777" w:rsidR="004A63D9" w:rsidRPr="00503A0D" w:rsidRDefault="004A63D9" w:rsidP="000F2A18">
            <w:pPr>
              <w:contextualSpacing/>
              <w:rPr>
                <w:rFonts w:cs="Arial"/>
                <w:sz w:val="18"/>
                <w:szCs w:val="18"/>
              </w:rPr>
            </w:pPr>
            <w:r w:rsidRPr="00503A0D">
              <w:rPr>
                <w:rFonts w:cs="Arial"/>
                <w:sz w:val="18"/>
                <w:szCs w:val="18"/>
              </w:rPr>
              <w:t>Bijlage</w:t>
            </w:r>
          </w:p>
        </w:tc>
        <w:tc>
          <w:tcPr>
            <w:tcW w:w="7574" w:type="dxa"/>
          </w:tcPr>
          <w:p w14:paraId="4061FE11" w14:textId="350DE2A0" w:rsidR="004A63D9" w:rsidRPr="00503A0D" w:rsidRDefault="001F7594" w:rsidP="00440D1E">
            <w:pPr>
              <w:contextualSpacing/>
              <w:rPr>
                <w:rFonts w:cs="Arial"/>
                <w:sz w:val="18"/>
                <w:szCs w:val="18"/>
              </w:rPr>
            </w:pPr>
            <w:r>
              <w:rPr>
                <w:rFonts w:cs="Arial"/>
                <w:sz w:val="18"/>
                <w:szCs w:val="18"/>
              </w:rPr>
              <w:t>6</w:t>
            </w:r>
          </w:p>
        </w:tc>
      </w:tr>
      <w:tr w:rsidR="00DC3497" w:rsidRPr="00683271" w14:paraId="4C08C63D" w14:textId="77777777" w:rsidTr="00503A0D">
        <w:trPr>
          <w:trHeight w:val="220"/>
        </w:trPr>
        <w:tc>
          <w:tcPr>
            <w:tcW w:w="1668" w:type="dxa"/>
          </w:tcPr>
          <w:p w14:paraId="1F48B240" w14:textId="77777777" w:rsidR="00DC3497" w:rsidRPr="00503A0D" w:rsidRDefault="00DC3497" w:rsidP="000F2A18">
            <w:pPr>
              <w:contextualSpacing/>
              <w:rPr>
                <w:rFonts w:cs="Arial"/>
                <w:sz w:val="18"/>
                <w:szCs w:val="18"/>
              </w:rPr>
            </w:pPr>
            <w:r w:rsidRPr="00503A0D">
              <w:rPr>
                <w:rFonts w:cs="Arial"/>
                <w:sz w:val="18"/>
                <w:szCs w:val="18"/>
              </w:rPr>
              <w:t>Onderwerp</w:t>
            </w:r>
          </w:p>
        </w:tc>
        <w:tc>
          <w:tcPr>
            <w:tcW w:w="7574" w:type="dxa"/>
          </w:tcPr>
          <w:p w14:paraId="42EAFD6B" w14:textId="040463B1" w:rsidR="00A82554" w:rsidRPr="00503A0D" w:rsidRDefault="005D4442" w:rsidP="00867351">
            <w:pPr>
              <w:contextualSpacing/>
              <w:rPr>
                <w:rFonts w:cs="Arial"/>
                <w:sz w:val="18"/>
                <w:szCs w:val="18"/>
              </w:rPr>
            </w:pPr>
            <w:r>
              <w:rPr>
                <w:rFonts w:cs="Arial"/>
                <w:sz w:val="18"/>
                <w:szCs w:val="18"/>
              </w:rPr>
              <w:t>Verordening afvoer h</w:t>
            </w:r>
            <w:r w:rsidR="00867351" w:rsidRPr="00503A0D">
              <w:rPr>
                <w:rFonts w:cs="Arial"/>
                <w:sz w:val="18"/>
                <w:szCs w:val="18"/>
              </w:rPr>
              <w:t>emel</w:t>
            </w:r>
            <w:r>
              <w:rPr>
                <w:rFonts w:cs="Arial"/>
                <w:sz w:val="18"/>
                <w:szCs w:val="18"/>
              </w:rPr>
              <w:t>- en grondwater (hemel</w:t>
            </w:r>
            <w:r w:rsidR="00867351" w:rsidRPr="00503A0D">
              <w:rPr>
                <w:rFonts w:cs="Arial"/>
                <w:sz w:val="18"/>
                <w:szCs w:val="18"/>
              </w:rPr>
              <w:t>waterverordening</w:t>
            </w:r>
            <w:r>
              <w:rPr>
                <w:rFonts w:cs="Arial"/>
                <w:sz w:val="18"/>
                <w:szCs w:val="18"/>
              </w:rPr>
              <w:t>)</w:t>
            </w:r>
          </w:p>
        </w:tc>
      </w:tr>
      <w:tr w:rsidR="00DC3497" w:rsidRPr="00683271" w14:paraId="5C584913" w14:textId="77777777" w:rsidTr="00503A0D">
        <w:tblPrEx>
          <w:tblCellMar>
            <w:left w:w="70" w:type="dxa"/>
            <w:right w:w="70" w:type="dxa"/>
          </w:tblCellMar>
        </w:tblPrEx>
        <w:trPr>
          <w:trHeight w:val="350"/>
        </w:trPr>
        <w:tc>
          <w:tcPr>
            <w:tcW w:w="1668" w:type="dxa"/>
          </w:tcPr>
          <w:p w14:paraId="07AA003C" w14:textId="77777777" w:rsidR="00DC3497" w:rsidRPr="00503A0D" w:rsidRDefault="00DC3497" w:rsidP="000F2A18">
            <w:pPr>
              <w:contextualSpacing/>
              <w:rPr>
                <w:rFonts w:cs="Arial"/>
                <w:sz w:val="18"/>
                <w:szCs w:val="18"/>
                <w:lang w:eastAsia="nl-NL"/>
              </w:rPr>
            </w:pPr>
            <w:r w:rsidRPr="00503A0D">
              <w:rPr>
                <w:rFonts w:cs="Arial"/>
                <w:sz w:val="18"/>
                <w:szCs w:val="18"/>
                <w:lang w:eastAsia="nl-NL"/>
              </w:rPr>
              <w:t>Toelichting</w:t>
            </w:r>
          </w:p>
        </w:tc>
        <w:tc>
          <w:tcPr>
            <w:tcW w:w="7574" w:type="dxa"/>
          </w:tcPr>
          <w:p w14:paraId="1FD7AAC2" w14:textId="77777777" w:rsidR="00297D4E" w:rsidRPr="00503A0D" w:rsidRDefault="00867351" w:rsidP="006F25A5">
            <w:pPr>
              <w:rPr>
                <w:rFonts w:cs="Arial"/>
                <w:b/>
                <w:i/>
                <w:sz w:val="18"/>
                <w:szCs w:val="18"/>
                <w:lang w:eastAsia="nl-NL"/>
              </w:rPr>
            </w:pPr>
            <w:r w:rsidRPr="00503A0D">
              <w:rPr>
                <w:rFonts w:cs="Arial"/>
                <w:b/>
                <w:i/>
                <w:sz w:val="18"/>
                <w:szCs w:val="18"/>
                <w:lang w:eastAsia="nl-NL"/>
              </w:rPr>
              <w:t>Inleiding</w:t>
            </w:r>
          </w:p>
          <w:p w14:paraId="3EEE01FF" w14:textId="3804012D" w:rsidR="00314101" w:rsidRDefault="001F7594" w:rsidP="00867351">
            <w:pPr>
              <w:rPr>
                <w:rFonts w:cs="Arial"/>
                <w:sz w:val="18"/>
                <w:szCs w:val="18"/>
              </w:rPr>
            </w:pPr>
            <w:r>
              <w:rPr>
                <w:rFonts w:cs="Arial"/>
                <w:sz w:val="18"/>
                <w:szCs w:val="18"/>
              </w:rPr>
              <w:t>De wateroverlast van afgelopen zomer heeft de aandacht voor water in de Ruimtelijk</w:t>
            </w:r>
            <w:r w:rsidR="005D4442">
              <w:rPr>
                <w:rFonts w:cs="Arial"/>
                <w:sz w:val="18"/>
                <w:szCs w:val="18"/>
              </w:rPr>
              <w:t>e</w:t>
            </w:r>
            <w:r>
              <w:rPr>
                <w:rFonts w:cs="Arial"/>
                <w:sz w:val="18"/>
                <w:szCs w:val="18"/>
              </w:rPr>
              <w:t xml:space="preserve"> Ordening </w:t>
            </w:r>
            <w:r w:rsidR="00625327">
              <w:rPr>
                <w:rFonts w:cs="Arial"/>
                <w:sz w:val="18"/>
                <w:szCs w:val="18"/>
              </w:rPr>
              <w:t xml:space="preserve">verder versterkt. Water krijgt hierin een </w:t>
            </w:r>
            <w:r>
              <w:rPr>
                <w:rFonts w:cs="Arial"/>
                <w:sz w:val="18"/>
                <w:szCs w:val="18"/>
              </w:rPr>
              <w:t>steeds prominentere plek</w:t>
            </w:r>
            <w:r w:rsidR="00625327">
              <w:rPr>
                <w:rFonts w:cs="Arial"/>
                <w:sz w:val="18"/>
                <w:szCs w:val="18"/>
              </w:rPr>
              <w:t xml:space="preserve">. Met name voor nieuwe ontwikkelingen is het van belang dat daar geen wateroverlast ontstaat of dat deze elders </w:t>
            </w:r>
            <w:r w:rsidR="005D4442">
              <w:rPr>
                <w:rFonts w:cs="Arial"/>
                <w:sz w:val="18"/>
                <w:szCs w:val="18"/>
              </w:rPr>
              <w:t xml:space="preserve">geen </w:t>
            </w:r>
            <w:r w:rsidR="00625327">
              <w:rPr>
                <w:rFonts w:cs="Arial"/>
                <w:sz w:val="18"/>
                <w:szCs w:val="18"/>
              </w:rPr>
              <w:t>wateroverlast veroorzaakt. De term waterneutraal bouwen is niet nieuw, maar in de praktijk blijkt dat er bij nieuwe ontwikkelingen nog te weinig rekening gehouden wordt met water.</w:t>
            </w:r>
            <w:r w:rsidR="00FB2275">
              <w:rPr>
                <w:rFonts w:cs="Arial"/>
                <w:sz w:val="18"/>
                <w:szCs w:val="18"/>
              </w:rPr>
              <w:t xml:space="preserve"> Mede omdat dit momenteel onvoldoende juridisch geregeld is binnen de gemeentes.</w:t>
            </w:r>
            <w:r w:rsidR="00314101">
              <w:rPr>
                <w:rFonts w:cs="Arial"/>
                <w:sz w:val="18"/>
                <w:szCs w:val="18"/>
              </w:rPr>
              <w:t xml:space="preserve"> </w:t>
            </w:r>
          </w:p>
          <w:p w14:paraId="6EBBFD98" w14:textId="77777777" w:rsidR="00314101" w:rsidRDefault="00314101" w:rsidP="00867351">
            <w:pPr>
              <w:rPr>
                <w:rFonts w:cs="Arial"/>
                <w:sz w:val="18"/>
                <w:szCs w:val="18"/>
              </w:rPr>
            </w:pPr>
          </w:p>
          <w:p w14:paraId="71610D46" w14:textId="0EF44432" w:rsidR="00314101" w:rsidRDefault="00314101" w:rsidP="00867351">
            <w:pPr>
              <w:rPr>
                <w:rFonts w:cs="Arial"/>
                <w:sz w:val="18"/>
                <w:szCs w:val="18"/>
              </w:rPr>
            </w:pPr>
            <w:r w:rsidRPr="00503A0D">
              <w:rPr>
                <w:rFonts w:cs="Arial"/>
                <w:sz w:val="18"/>
                <w:szCs w:val="18"/>
                <w:lang w:eastAsia="nl-NL"/>
              </w:rPr>
              <w:t>Als een nieuw</w:t>
            </w:r>
            <w:r>
              <w:rPr>
                <w:rFonts w:cs="Arial"/>
                <w:sz w:val="18"/>
                <w:szCs w:val="18"/>
                <w:lang w:eastAsia="nl-NL"/>
              </w:rPr>
              <w:t xml:space="preserve">e ontwikkeling </w:t>
            </w:r>
            <w:r w:rsidRPr="00503A0D">
              <w:rPr>
                <w:rFonts w:cs="Arial"/>
                <w:sz w:val="18"/>
                <w:szCs w:val="18"/>
                <w:lang w:eastAsia="nl-NL"/>
              </w:rPr>
              <w:t>mogelijk wordt gemaakt via een bestemmingsplan</w:t>
            </w:r>
            <w:r>
              <w:rPr>
                <w:rFonts w:cs="Arial"/>
                <w:sz w:val="18"/>
                <w:szCs w:val="18"/>
                <w:lang w:eastAsia="nl-NL"/>
              </w:rPr>
              <w:t>procedure</w:t>
            </w:r>
            <w:r w:rsidRPr="00503A0D">
              <w:rPr>
                <w:rFonts w:cs="Arial"/>
                <w:sz w:val="18"/>
                <w:szCs w:val="18"/>
                <w:lang w:eastAsia="nl-NL"/>
              </w:rPr>
              <w:t xml:space="preserve">, </w:t>
            </w:r>
            <w:r>
              <w:rPr>
                <w:rFonts w:cs="Arial"/>
                <w:sz w:val="18"/>
                <w:szCs w:val="18"/>
                <w:lang w:eastAsia="nl-NL"/>
              </w:rPr>
              <w:t xml:space="preserve">dient de watertoets te worden doorlopen en </w:t>
            </w:r>
            <w:r w:rsidRPr="00503A0D">
              <w:rPr>
                <w:rFonts w:cs="Arial"/>
                <w:sz w:val="18"/>
                <w:szCs w:val="18"/>
                <w:lang w:eastAsia="nl-NL"/>
              </w:rPr>
              <w:t>kunnen bergingsvoorwaardes via het bestemmingsplan worden geregeld. In alle andere gevallen worden deze voorwaardes vaak ook gesteld, maar hebben dus onvoldoende juridische status</w:t>
            </w:r>
            <w:r>
              <w:rPr>
                <w:rFonts w:cs="Arial"/>
                <w:sz w:val="18"/>
                <w:szCs w:val="18"/>
                <w:lang w:eastAsia="nl-NL"/>
              </w:rPr>
              <w:t>.</w:t>
            </w:r>
          </w:p>
          <w:p w14:paraId="4E2D14D7" w14:textId="32856CA6" w:rsidR="00314101" w:rsidRDefault="00314101" w:rsidP="00867351">
            <w:pPr>
              <w:rPr>
                <w:rFonts w:cs="Arial"/>
                <w:sz w:val="18"/>
                <w:szCs w:val="18"/>
              </w:rPr>
            </w:pPr>
          </w:p>
          <w:p w14:paraId="3D494D22" w14:textId="63E4F04C" w:rsidR="00625327" w:rsidRPr="00503A0D" w:rsidRDefault="00FB2275" w:rsidP="00FB2275">
            <w:pPr>
              <w:rPr>
                <w:rFonts w:cs="Arial"/>
                <w:sz w:val="18"/>
                <w:szCs w:val="18"/>
                <w:lang w:eastAsia="nl-NL"/>
              </w:rPr>
            </w:pPr>
            <w:r>
              <w:rPr>
                <w:rFonts w:cs="Arial"/>
                <w:sz w:val="18"/>
                <w:szCs w:val="18"/>
                <w:lang w:eastAsia="nl-NL"/>
              </w:rPr>
              <w:t xml:space="preserve">In het kader hiervan is het wenselijk om voor </w:t>
            </w:r>
            <w:r w:rsidRPr="00503A0D">
              <w:rPr>
                <w:rFonts w:cs="Arial"/>
                <w:sz w:val="18"/>
                <w:szCs w:val="18"/>
                <w:lang w:eastAsia="nl-NL"/>
              </w:rPr>
              <w:t xml:space="preserve">nieuwbouw </w:t>
            </w:r>
            <w:r>
              <w:rPr>
                <w:rFonts w:cs="Arial"/>
                <w:sz w:val="18"/>
                <w:szCs w:val="18"/>
                <w:lang w:eastAsia="nl-NL"/>
              </w:rPr>
              <w:t>e</w:t>
            </w:r>
            <w:r w:rsidRPr="00503A0D">
              <w:rPr>
                <w:rFonts w:cs="Arial"/>
                <w:sz w:val="18"/>
                <w:szCs w:val="18"/>
                <w:lang w:eastAsia="nl-NL"/>
              </w:rPr>
              <w:t xml:space="preserve">en verordening afvoer hemel- en grondwater </w:t>
            </w:r>
            <w:r>
              <w:rPr>
                <w:rFonts w:cs="Arial"/>
                <w:sz w:val="18"/>
                <w:szCs w:val="18"/>
                <w:lang w:eastAsia="nl-NL"/>
              </w:rPr>
              <w:t xml:space="preserve">vast te stellen. </w:t>
            </w:r>
            <w:r w:rsidR="00625327" w:rsidRPr="00503A0D">
              <w:rPr>
                <w:rFonts w:cs="Arial"/>
                <w:sz w:val="18"/>
                <w:szCs w:val="18"/>
                <w:lang w:eastAsia="nl-NL"/>
              </w:rPr>
              <w:t>Met deze verordening kunnen eisen worden gesteld over de hoeveelheid te bergen regenwater bij nieuw</w:t>
            </w:r>
            <w:r w:rsidR="00314101">
              <w:rPr>
                <w:rFonts w:cs="Arial"/>
                <w:sz w:val="18"/>
                <w:szCs w:val="18"/>
                <w:lang w:eastAsia="nl-NL"/>
              </w:rPr>
              <w:t>e ontwikkelingen.</w:t>
            </w:r>
          </w:p>
          <w:p w14:paraId="63B1F678" w14:textId="315CA973" w:rsidR="00625327" w:rsidRDefault="00625327" w:rsidP="00867351">
            <w:pPr>
              <w:rPr>
                <w:rFonts w:cs="Arial"/>
                <w:sz w:val="18"/>
                <w:szCs w:val="18"/>
              </w:rPr>
            </w:pPr>
          </w:p>
          <w:p w14:paraId="4ADD6244" w14:textId="538EA39F" w:rsidR="003D6527" w:rsidRPr="009309C3" w:rsidRDefault="003D6527" w:rsidP="00867351">
            <w:pPr>
              <w:rPr>
                <w:rFonts w:cs="Arial"/>
                <w:b/>
                <w:bCs/>
                <w:i/>
                <w:iCs/>
                <w:sz w:val="18"/>
                <w:szCs w:val="18"/>
              </w:rPr>
            </w:pPr>
            <w:r w:rsidRPr="009309C3">
              <w:rPr>
                <w:rFonts w:cs="Arial"/>
                <w:b/>
                <w:bCs/>
                <w:i/>
                <w:iCs/>
                <w:sz w:val="18"/>
                <w:szCs w:val="18"/>
              </w:rPr>
              <w:t xml:space="preserve">Nationale meetlat </w:t>
            </w:r>
            <w:proofErr w:type="spellStart"/>
            <w:r w:rsidRPr="009309C3">
              <w:rPr>
                <w:rFonts w:cs="Arial"/>
                <w:b/>
                <w:bCs/>
                <w:i/>
                <w:iCs/>
                <w:sz w:val="18"/>
                <w:szCs w:val="18"/>
              </w:rPr>
              <w:t>klimaatadaptief</w:t>
            </w:r>
            <w:proofErr w:type="spellEnd"/>
            <w:r w:rsidRPr="009309C3">
              <w:rPr>
                <w:rFonts w:cs="Arial"/>
                <w:b/>
                <w:bCs/>
                <w:i/>
                <w:iCs/>
                <w:sz w:val="18"/>
                <w:szCs w:val="18"/>
              </w:rPr>
              <w:t xml:space="preserve"> bouwen</w:t>
            </w:r>
          </w:p>
          <w:p w14:paraId="7D54B35F" w14:textId="4308FBDE" w:rsidR="00D21042" w:rsidRPr="00503A0D" w:rsidRDefault="00D21042" w:rsidP="00D21042">
            <w:pPr>
              <w:rPr>
                <w:rFonts w:cs="Arial"/>
                <w:sz w:val="18"/>
                <w:szCs w:val="18"/>
                <w:lang w:eastAsia="nl-NL"/>
              </w:rPr>
            </w:pPr>
            <w:r w:rsidRPr="00503A0D">
              <w:rPr>
                <w:rFonts w:cs="Arial"/>
                <w:sz w:val="18"/>
                <w:szCs w:val="18"/>
                <w:lang w:eastAsia="nl-NL"/>
              </w:rPr>
              <w:t xml:space="preserve">Voor wat betreft de op te nemen voorwaardes </w:t>
            </w:r>
            <w:r>
              <w:rPr>
                <w:rFonts w:cs="Arial"/>
                <w:sz w:val="18"/>
                <w:szCs w:val="18"/>
                <w:lang w:eastAsia="nl-NL"/>
              </w:rPr>
              <w:t xml:space="preserve">wordt </w:t>
            </w:r>
            <w:r w:rsidRPr="00503A0D">
              <w:rPr>
                <w:rFonts w:cs="Arial"/>
                <w:sz w:val="18"/>
                <w:szCs w:val="18"/>
                <w:lang w:eastAsia="nl-NL"/>
              </w:rPr>
              <w:t xml:space="preserve">gezamenlijk gekeken naar een uniformiteit voor de </w:t>
            </w:r>
            <w:r>
              <w:rPr>
                <w:rFonts w:cs="Arial"/>
                <w:sz w:val="18"/>
                <w:szCs w:val="18"/>
                <w:lang w:eastAsia="nl-NL"/>
              </w:rPr>
              <w:t xml:space="preserve">Parkstad gemeentes. </w:t>
            </w:r>
            <w:r w:rsidRPr="00503A0D">
              <w:rPr>
                <w:rFonts w:cs="Arial"/>
                <w:sz w:val="18"/>
                <w:szCs w:val="18"/>
                <w:lang w:eastAsia="nl-NL"/>
              </w:rPr>
              <w:t xml:space="preserve">Gelet op de klimaatontwikkelingen </w:t>
            </w:r>
            <w:r>
              <w:rPr>
                <w:rFonts w:cs="Arial"/>
                <w:sz w:val="18"/>
                <w:szCs w:val="18"/>
                <w:lang w:eastAsia="nl-NL"/>
              </w:rPr>
              <w:t xml:space="preserve">is het wenselijk om </w:t>
            </w:r>
            <w:r w:rsidRPr="00503A0D">
              <w:rPr>
                <w:rFonts w:cs="Arial"/>
                <w:sz w:val="18"/>
                <w:szCs w:val="18"/>
                <w:lang w:eastAsia="nl-NL"/>
              </w:rPr>
              <w:t xml:space="preserve">hogere bergingseisen </w:t>
            </w:r>
            <w:r>
              <w:rPr>
                <w:rFonts w:cs="Arial"/>
                <w:sz w:val="18"/>
                <w:szCs w:val="18"/>
                <w:lang w:eastAsia="nl-NL"/>
              </w:rPr>
              <w:t xml:space="preserve">te </w:t>
            </w:r>
            <w:r w:rsidRPr="00503A0D">
              <w:rPr>
                <w:rFonts w:cs="Arial"/>
                <w:sz w:val="18"/>
                <w:szCs w:val="18"/>
                <w:lang w:eastAsia="nl-NL"/>
              </w:rPr>
              <w:t>gaan stellen dan nu het geval is. Zo vindt er ook een betere aansluiting plaats op de eisen vanuit de Keur van het Waterschap Limburg</w:t>
            </w:r>
            <w:r>
              <w:rPr>
                <w:rFonts w:cs="Arial"/>
                <w:sz w:val="18"/>
                <w:szCs w:val="18"/>
                <w:lang w:eastAsia="nl-NL"/>
              </w:rPr>
              <w:t xml:space="preserve"> en wordt </w:t>
            </w:r>
            <w:r w:rsidR="009165B3">
              <w:rPr>
                <w:rFonts w:cs="Arial"/>
                <w:sz w:val="18"/>
                <w:szCs w:val="18"/>
                <w:lang w:eastAsia="nl-NL"/>
              </w:rPr>
              <w:t xml:space="preserve">ook </w:t>
            </w:r>
            <w:r>
              <w:rPr>
                <w:rFonts w:cs="Arial"/>
                <w:sz w:val="18"/>
                <w:szCs w:val="18"/>
                <w:lang w:eastAsia="nl-NL"/>
              </w:rPr>
              <w:t xml:space="preserve">al ingespeeld op de landelijke ontwikkelingen </w:t>
            </w:r>
            <w:r w:rsidR="009165B3">
              <w:rPr>
                <w:rFonts w:cs="Arial"/>
                <w:sz w:val="18"/>
                <w:szCs w:val="18"/>
                <w:lang w:eastAsia="nl-NL"/>
              </w:rPr>
              <w:t xml:space="preserve">vanuit </w:t>
            </w:r>
            <w:r>
              <w:rPr>
                <w:rFonts w:cs="Arial"/>
                <w:sz w:val="18"/>
                <w:szCs w:val="18"/>
                <w:lang w:eastAsia="nl-NL"/>
              </w:rPr>
              <w:t>de Beleidstafel</w:t>
            </w:r>
            <w:r w:rsidR="009165B3">
              <w:rPr>
                <w:rFonts w:cs="Arial"/>
                <w:sz w:val="18"/>
                <w:szCs w:val="18"/>
                <w:lang w:eastAsia="nl-NL"/>
              </w:rPr>
              <w:t xml:space="preserve"> Hoogwater en </w:t>
            </w:r>
            <w:r w:rsidR="005D4442">
              <w:rPr>
                <w:rFonts w:cs="Arial"/>
                <w:sz w:val="18"/>
                <w:szCs w:val="18"/>
                <w:lang w:eastAsia="nl-NL"/>
              </w:rPr>
              <w:t>W</w:t>
            </w:r>
            <w:r w:rsidR="009165B3">
              <w:rPr>
                <w:rFonts w:cs="Arial"/>
                <w:sz w:val="18"/>
                <w:szCs w:val="18"/>
                <w:lang w:eastAsia="nl-NL"/>
              </w:rPr>
              <w:t>ateroverlast.</w:t>
            </w:r>
          </w:p>
          <w:p w14:paraId="3CE082BC" w14:textId="1E018476" w:rsidR="001F7594" w:rsidRDefault="001F7594" w:rsidP="00867351">
            <w:pPr>
              <w:rPr>
                <w:rFonts w:cs="Arial"/>
                <w:sz w:val="18"/>
                <w:szCs w:val="18"/>
              </w:rPr>
            </w:pPr>
          </w:p>
          <w:p w14:paraId="5FBC0068" w14:textId="0FB6B3BE" w:rsidR="009165B3" w:rsidRPr="009165B3" w:rsidRDefault="00E3713A" w:rsidP="009165B3">
            <w:pPr>
              <w:rPr>
                <w:rFonts w:cs="Arial"/>
                <w:sz w:val="18"/>
                <w:szCs w:val="18"/>
                <w:lang w:eastAsia="nl-NL"/>
              </w:rPr>
            </w:pPr>
            <w:r>
              <w:rPr>
                <w:rFonts w:cs="Arial"/>
                <w:sz w:val="18"/>
                <w:szCs w:val="18"/>
                <w:lang w:eastAsia="nl-NL"/>
              </w:rPr>
              <w:t xml:space="preserve">De ministeries </w:t>
            </w:r>
            <w:r w:rsidR="009165B3" w:rsidRPr="009165B3">
              <w:rPr>
                <w:rFonts w:cs="Arial"/>
                <w:sz w:val="18"/>
                <w:szCs w:val="18"/>
                <w:lang w:eastAsia="nl-NL"/>
              </w:rPr>
              <w:t>I</w:t>
            </w:r>
            <w:r>
              <w:rPr>
                <w:rFonts w:cs="Arial"/>
                <w:sz w:val="18"/>
                <w:szCs w:val="18"/>
                <w:lang w:eastAsia="nl-NL"/>
              </w:rPr>
              <w:t xml:space="preserve">nfrastructuur en Water, Landbouw Natuur en Voedselkwaliteit en Volkshuisvesting en Ruimtelijk Ordening werken samen aan een </w:t>
            </w:r>
            <w:r w:rsidR="009165B3" w:rsidRPr="009165B3">
              <w:rPr>
                <w:rFonts w:cs="Arial"/>
                <w:sz w:val="18"/>
                <w:szCs w:val="18"/>
                <w:lang w:eastAsia="nl-NL"/>
              </w:rPr>
              <w:t xml:space="preserve">Nationaal Actieprogramma Klimaatadaptatie gebouwde omgeving. </w:t>
            </w:r>
            <w:r>
              <w:rPr>
                <w:rFonts w:cs="Arial"/>
                <w:sz w:val="18"/>
                <w:szCs w:val="18"/>
                <w:lang w:eastAsia="nl-NL"/>
              </w:rPr>
              <w:t xml:space="preserve">Dit Actieprogramma moet duidelijk maken wat </w:t>
            </w:r>
            <w:proofErr w:type="spellStart"/>
            <w:r w:rsidRPr="00E3713A">
              <w:rPr>
                <w:rFonts w:cs="Arial"/>
                <w:sz w:val="18"/>
                <w:szCs w:val="18"/>
                <w:lang w:eastAsia="nl-NL"/>
              </w:rPr>
              <w:t>klimaatadaptief</w:t>
            </w:r>
            <w:proofErr w:type="spellEnd"/>
            <w:r w:rsidRPr="00E3713A">
              <w:rPr>
                <w:rFonts w:cs="Arial"/>
                <w:sz w:val="18"/>
                <w:szCs w:val="18"/>
                <w:lang w:eastAsia="nl-NL"/>
              </w:rPr>
              <w:t xml:space="preserve"> bouwen precies is. Daarom </w:t>
            </w:r>
            <w:r>
              <w:rPr>
                <w:rFonts w:cs="Arial"/>
                <w:sz w:val="18"/>
                <w:szCs w:val="18"/>
                <w:lang w:eastAsia="nl-NL"/>
              </w:rPr>
              <w:t xml:space="preserve">wordt er een </w:t>
            </w:r>
            <w:r w:rsidRPr="00E3713A">
              <w:rPr>
                <w:rFonts w:cs="Arial"/>
                <w:sz w:val="18"/>
                <w:szCs w:val="18"/>
                <w:lang w:eastAsia="nl-NL"/>
              </w:rPr>
              <w:t xml:space="preserve">nationale maatlat </w:t>
            </w:r>
            <w:r>
              <w:rPr>
                <w:rFonts w:cs="Arial"/>
                <w:sz w:val="18"/>
                <w:szCs w:val="18"/>
                <w:lang w:eastAsia="nl-NL"/>
              </w:rPr>
              <w:t xml:space="preserve">ontwikkeld </w:t>
            </w:r>
            <w:r w:rsidRPr="00E3713A">
              <w:rPr>
                <w:rFonts w:cs="Arial"/>
                <w:sz w:val="18"/>
                <w:szCs w:val="18"/>
                <w:lang w:eastAsia="nl-NL"/>
              </w:rPr>
              <w:t xml:space="preserve">die aangeeft wat de criteria zijn. Deze nationale meetlat zal gaan over de klimaatthema’s droogte, hitte, wateroverlast, overstroming en biodiversiteit. </w:t>
            </w:r>
            <w:r w:rsidR="003D6527">
              <w:rPr>
                <w:rFonts w:cs="Arial"/>
                <w:sz w:val="18"/>
                <w:szCs w:val="18"/>
                <w:lang w:eastAsia="nl-NL"/>
              </w:rPr>
              <w:t>Eind 2022</w:t>
            </w:r>
            <w:r w:rsidR="009165B3" w:rsidRPr="009165B3">
              <w:rPr>
                <w:rFonts w:cs="Arial"/>
                <w:sz w:val="18"/>
                <w:szCs w:val="18"/>
                <w:lang w:eastAsia="nl-NL"/>
              </w:rPr>
              <w:t xml:space="preserve"> komt </w:t>
            </w:r>
            <w:r w:rsidR="003D6527">
              <w:rPr>
                <w:rFonts w:cs="Arial"/>
                <w:sz w:val="18"/>
                <w:szCs w:val="18"/>
                <w:lang w:eastAsia="nl-NL"/>
              </w:rPr>
              <w:t xml:space="preserve">er meer </w:t>
            </w:r>
            <w:r w:rsidR="009165B3" w:rsidRPr="009165B3">
              <w:rPr>
                <w:rFonts w:cs="Arial"/>
                <w:sz w:val="18"/>
                <w:szCs w:val="18"/>
                <w:lang w:eastAsia="nl-NL"/>
              </w:rPr>
              <w:t>informatie over d</w:t>
            </w:r>
            <w:r w:rsidR="003D6527">
              <w:rPr>
                <w:rFonts w:cs="Arial"/>
                <w:sz w:val="18"/>
                <w:szCs w:val="18"/>
                <w:lang w:eastAsia="nl-NL"/>
              </w:rPr>
              <w:t>eze</w:t>
            </w:r>
            <w:r w:rsidR="009165B3" w:rsidRPr="009165B3">
              <w:rPr>
                <w:rFonts w:cs="Arial"/>
                <w:sz w:val="18"/>
                <w:szCs w:val="18"/>
                <w:lang w:eastAsia="nl-NL"/>
              </w:rPr>
              <w:t xml:space="preserve"> maatlat.</w:t>
            </w:r>
          </w:p>
          <w:p w14:paraId="50FBDD88" w14:textId="696E8225" w:rsidR="009165B3" w:rsidRDefault="009165B3" w:rsidP="00867351">
            <w:pPr>
              <w:rPr>
                <w:rFonts w:cs="Arial"/>
                <w:sz w:val="18"/>
                <w:szCs w:val="18"/>
              </w:rPr>
            </w:pPr>
          </w:p>
          <w:p w14:paraId="4F83BA2E" w14:textId="377F14F7" w:rsidR="009165B3" w:rsidRPr="009309C3" w:rsidRDefault="003D6527" w:rsidP="00867351">
            <w:pPr>
              <w:rPr>
                <w:rFonts w:cs="Arial"/>
                <w:b/>
                <w:bCs/>
                <w:i/>
                <w:iCs/>
                <w:sz w:val="18"/>
                <w:szCs w:val="18"/>
              </w:rPr>
            </w:pPr>
            <w:r w:rsidRPr="009309C3">
              <w:rPr>
                <w:rFonts w:cs="Arial"/>
                <w:b/>
                <w:bCs/>
                <w:i/>
                <w:iCs/>
                <w:sz w:val="18"/>
                <w:szCs w:val="18"/>
              </w:rPr>
              <w:t>Omgevingswet</w:t>
            </w:r>
          </w:p>
          <w:p w14:paraId="3211200D" w14:textId="5C303CC5" w:rsidR="00C36B43" w:rsidRPr="00503A0D" w:rsidRDefault="009309C3" w:rsidP="006F25A5">
            <w:pPr>
              <w:rPr>
                <w:rFonts w:cs="Arial"/>
                <w:sz w:val="18"/>
                <w:szCs w:val="18"/>
              </w:rPr>
            </w:pPr>
            <w:r>
              <w:rPr>
                <w:rFonts w:cs="Arial"/>
                <w:sz w:val="18"/>
                <w:szCs w:val="18"/>
              </w:rPr>
              <w:t xml:space="preserve">Het is echter niet wenselijk om deze meetlat af te wachten. Met de concept criteria kunnen we al aan de slag met de hemelwaterverordening. Mede om dat met de komst van de Omgevingswet het wenselijk </w:t>
            </w:r>
            <w:r w:rsidR="005D4442">
              <w:rPr>
                <w:rFonts w:cs="Arial"/>
                <w:sz w:val="18"/>
                <w:szCs w:val="18"/>
              </w:rPr>
              <w:t xml:space="preserve">is </w:t>
            </w:r>
            <w:r>
              <w:rPr>
                <w:rFonts w:cs="Arial"/>
                <w:sz w:val="18"/>
                <w:szCs w:val="18"/>
              </w:rPr>
              <w:t>om deze verordening nog vast te stellen voordat de Omgevingswet van kracht</w:t>
            </w:r>
            <w:r w:rsidR="005D4442">
              <w:rPr>
                <w:rFonts w:cs="Arial"/>
                <w:sz w:val="18"/>
                <w:szCs w:val="18"/>
              </w:rPr>
              <w:t xml:space="preserve"> is</w:t>
            </w:r>
            <w:r>
              <w:rPr>
                <w:rFonts w:cs="Arial"/>
                <w:sz w:val="18"/>
                <w:szCs w:val="18"/>
              </w:rPr>
              <w:t xml:space="preserve">. </w:t>
            </w:r>
            <w:r w:rsidR="00D21042" w:rsidRPr="00503A0D">
              <w:rPr>
                <w:rFonts w:cs="Arial"/>
                <w:sz w:val="18"/>
                <w:szCs w:val="18"/>
                <w:lang w:eastAsia="nl-NL"/>
              </w:rPr>
              <w:t xml:space="preserve">De hemelwaterverordening gaat van rechtswege onderdeel uitmaken van het </w:t>
            </w:r>
            <w:r w:rsidR="00D21042">
              <w:rPr>
                <w:rFonts w:cs="Arial"/>
                <w:sz w:val="18"/>
                <w:szCs w:val="18"/>
                <w:lang w:eastAsia="nl-NL"/>
              </w:rPr>
              <w:t xml:space="preserve">tijdelijke </w:t>
            </w:r>
            <w:r w:rsidR="00D21042" w:rsidRPr="00503A0D">
              <w:rPr>
                <w:rFonts w:cs="Arial"/>
                <w:sz w:val="18"/>
                <w:szCs w:val="18"/>
                <w:lang w:eastAsia="nl-NL"/>
              </w:rPr>
              <w:t xml:space="preserve">omgevingsplan. </w:t>
            </w:r>
            <w:r w:rsidR="006409C7">
              <w:rPr>
                <w:rFonts w:cs="Arial"/>
                <w:sz w:val="18"/>
                <w:szCs w:val="18"/>
                <w:lang w:eastAsia="nl-NL"/>
              </w:rPr>
              <w:t xml:space="preserve">We stellen een uniforme hemelwaterverordening op, waarbij we de colleges adviseren deze dit jaar nog door de gemeenteraden te laten vaststellen. </w:t>
            </w:r>
          </w:p>
          <w:p w14:paraId="4DCD6995" w14:textId="77777777" w:rsidR="00503A0D" w:rsidRPr="00503A0D" w:rsidRDefault="00503A0D" w:rsidP="00855F1C">
            <w:pPr>
              <w:spacing w:line="276" w:lineRule="auto"/>
              <w:rPr>
                <w:rFonts w:cs="Arial"/>
                <w:sz w:val="18"/>
                <w:szCs w:val="18"/>
                <w:lang w:eastAsia="nl-NL"/>
              </w:rPr>
            </w:pPr>
          </w:p>
        </w:tc>
      </w:tr>
      <w:tr w:rsidR="00DC3497" w:rsidRPr="00683271" w14:paraId="1CFAC3CB" w14:textId="77777777" w:rsidTr="00503A0D">
        <w:tc>
          <w:tcPr>
            <w:tcW w:w="1668" w:type="dxa"/>
          </w:tcPr>
          <w:p w14:paraId="41F856D6" w14:textId="77777777" w:rsidR="00DC3497" w:rsidRPr="00503A0D" w:rsidRDefault="00DC3497" w:rsidP="000F2A18">
            <w:pPr>
              <w:contextualSpacing/>
              <w:rPr>
                <w:rFonts w:cs="Arial"/>
                <w:sz w:val="18"/>
                <w:szCs w:val="18"/>
              </w:rPr>
            </w:pPr>
            <w:r w:rsidRPr="00503A0D">
              <w:rPr>
                <w:rFonts w:cs="Arial"/>
                <w:sz w:val="18"/>
                <w:szCs w:val="18"/>
              </w:rPr>
              <w:t>Status</w:t>
            </w:r>
          </w:p>
        </w:tc>
        <w:tc>
          <w:tcPr>
            <w:tcW w:w="7574" w:type="dxa"/>
          </w:tcPr>
          <w:p w14:paraId="6F283006" w14:textId="77777777" w:rsidR="00DC3497" w:rsidRPr="00503A0D" w:rsidRDefault="00867351"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X</w:t>
            </w:r>
            <w:r w:rsidR="00DC3497" w:rsidRPr="00503A0D">
              <w:rPr>
                <w:rFonts w:cs="Arial"/>
                <w:sz w:val="18"/>
                <w:szCs w:val="18"/>
              </w:rPr>
              <w:t xml:space="preserve"> informatief</w:t>
            </w:r>
          </w:p>
          <w:p w14:paraId="73C73FAD" w14:textId="77777777" w:rsidR="00DC3497" w:rsidRPr="00503A0D" w:rsidRDefault="00DC3497"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 sonderend</w:t>
            </w:r>
          </w:p>
          <w:p w14:paraId="3DE2C676" w14:textId="77777777" w:rsidR="00DC3497" w:rsidRPr="00503A0D" w:rsidRDefault="00DC3497"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 opiniërend</w:t>
            </w:r>
          </w:p>
          <w:p w14:paraId="3FE46506" w14:textId="77777777" w:rsidR="00DC3497" w:rsidRPr="00503A0D" w:rsidRDefault="00F0317B"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w:t>
            </w:r>
            <w:r w:rsidR="00DC3497" w:rsidRPr="00503A0D">
              <w:rPr>
                <w:rFonts w:cs="Arial"/>
                <w:sz w:val="18"/>
                <w:szCs w:val="18"/>
              </w:rPr>
              <w:t xml:space="preserve"> adviserend</w:t>
            </w:r>
          </w:p>
          <w:p w14:paraId="38046DF3" w14:textId="77777777" w:rsidR="00DC3497" w:rsidRPr="00503A0D" w:rsidRDefault="00867351" w:rsidP="00867351">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w:t>
            </w:r>
            <w:r w:rsidR="00FC492E" w:rsidRPr="00503A0D">
              <w:rPr>
                <w:rFonts w:cs="Arial"/>
                <w:sz w:val="18"/>
                <w:szCs w:val="18"/>
              </w:rPr>
              <w:t xml:space="preserve"> </w:t>
            </w:r>
            <w:r w:rsidR="00DC3497" w:rsidRPr="00503A0D">
              <w:rPr>
                <w:rFonts w:cs="Arial"/>
                <w:sz w:val="18"/>
                <w:szCs w:val="18"/>
              </w:rPr>
              <w:t>besluitvormend / vaststellend</w:t>
            </w:r>
            <w:r w:rsidR="004778EB" w:rsidRPr="00503A0D">
              <w:rPr>
                <w:rFonts w:cs="Arial"/>
                <w:sz w:val="18"/>
                <w:szCs w:val="18"/>
              </w:rPr>
              <w:t xml:space="preserve"> </w:t>
            </w:r>
          </w:p>
        </w:tc>
      </w:tr>
      <w:tr w:rsidR="00DC3497" w:rsidRPr="00683271" w14:paraId="30CB18A7" w14:textId="77777777" w:rsidTr="00503A0D">
        <w:tc>
          <w:tcPr>
            <w:tcW w:w="1668" w:type="dxa"/>
          </w:tcPr>
          <w:p w14:paraId="5B360548" w14:textId="77777777" w:rsidR="00DC3497" w:rsidRPr="00503A0D" w:rsidRDefault="00DC3497" w:rsidP="000F2A18">
            <w:pPr>
              <w:contextualSpacing/>
              <w:rPr>
                <w:rFonts w:cs="Arial"/>
                <w:sz w:val="18"/>
                <w:szCs w:val="18"/>
              </w:rPr>
            </w:pPr>
            <w:r w:rsidRPr="00503A0D">
              <w:rPr>
                <w:rFonts w:cs="Arial"/>
                <w:sz w:val="18"/>
                <w:szCs w:val="18"/>
              </w:rPr>
              <w:t>Voorstel</w:t>
            </w:r>
          </w:p>
        </w:tc>
        <w:tc>
          <w:tcPr>
            <w:tcW w:w="7574" w:type="dxa"/>
          </w:tcPr>
          <w:p w14:paraId="42758062" w14:textId="77777777" w:rsidR="00F61DE0" w:rsidRPr="00503A0D" w:rsidRDefault="00867351" w:rsidP="00867351">
            <w:pPr>
              <w:pStyle w:val="Default"/>
              <w:tabs>
                <w:tab w:val="left" w:pos="161"/>
              </w:tabs>
              <w:rPr>
                <w:sz w:val="18"/>
                <w:szCs w:val="18"/>
              </w:rPr>
            </w:pPr>
            <w:r w:rsidRPr="00503A0D">
              <w:rPr>
                <w:sz w:val="18"/>
                <w:szCs w:val="18"/>
              </w:rPr>
              <w:t>Kennisnemen van voorstel.</w:t>
            </w:r>
          </w:p>
        </w:tc>
      </w:tr>
      <w:tr w:rsidR="00DC3497" w:rsidRPr="00683271" w14:paraId="1B2B4BF9" w14:textId="77777777" w:rsidTr="00503A0D">
        <w:tc>
          <w:tcPr>
            <w:tcW w:w="1668" w:type="dxa"/>
          </w:tcPr>
          <w:p w14:paraId="7A7D8B77" w14:textId="77777777" w:rsidR="00DC3497" w:rsidRPr="00503A0D" w:rsidRDefault="00DC3497" w:rsidP="000F2A18">
            <w:pPr>
              <w:contextualSpacing/>
              <w:rPr>
                <w:rFonts w:cs="Arial"/>
                <w:sz w:val="18"/>
                <w:szCs w:val="18"/>
              </w:rPr>
            </w:pPr>
            <w:r w:rsidRPr="00503A0D">
              <w:rPr>
                <w:rFonts w:cs="Arial"/>
                <w:sz w:val="18"/>
                <w:szCs w:val="18"/>
              </w:rPr>
              <w:t>Bijlage(n)</w:t>
            </w:r>
          </w:p>
        </w:tc>
        <w:tc>
          <w:tcPr>
            <w:tcW w:w="7574" w:type="dxa"/>
          </w:tcPr>
          <w:p w14:paraId="3D5C5B67" w14:textId="77777777" w:rsidR="00DC3497" w:rsidRPr="00503A0D" w:rsidRDefault="000A20E6" w:rsidP="00683271">
            <w:pPr>
              <w:contextualSpacing/>
              <w:rPr>
                <w:rFonts w:cs="Arial"/>
                <w:sz w:val="18"/>
                <w:szCs w:val="18"/>
              </w:rPr>
            </w:pPr>
            <w:r>
              <w:rPr>
                <w:rFonts w:cs="Arial"/>
                <w:sz w:val="18"/>
                <w:szCs w:val="18"/>
              </w:rPr>
              <w:t>-</w:t>
            </w:r>
          </w:p>
        </w:tc>
      </w:tr>
      <w:tr w:rsidR="00DC3497" w:rsidRPr="00683271" w14:paraId="747C23A2" w14:textId="77777777" w:rsidTr="00503A0D">
        <w:tc>
          <w:tcPr>
            <w:tcW w:w="1668" w:type="dxa"/>
          </w:tcPr>
          <w:p w14:paraId="670E42DB" w14:textId="77777777" w:rsidR="00DC3497" w:rsidRPr="00503A0D" w:rsidRDefault="00DC3497" w:rsidP="000F2A18">
            <w:pPr>
              <w:contextualSpacing/>
              <w:rPr>
                <w:rFonts w:cs="Arial"/>
                <w:sz w:val="18"/>
                <w:szCs w:val="18"/>
              </w:rPr>
            </w:pPr>
            <w:r w:rsidRPr="00503A0D">
              <w:rPr>
                <w:rFonts w:cs="Arial"/>
                <w:sz w:val="18"/>
                <w:szCs w:val="18"/>
              </w:rPr>
              <w:t>Steller</w:t>
            </w:r>
          </w:p>
        </w:tc>
        <w:tc>
          <w:tcPr>
            <w:tcW w:w="7574" w:type="dxa"/>
          </w:tcPr>
          <w:p w14:paraId="2927BCA1" w14:textId="77777777" w:rsidR="00DC3497" w:rsidRPr="00503A0D" w:rsidRDefault="003A5E4C" w:rsidP="00DA301C">
            <w:pPr>
              <w:contextualSpacing/>
              <w:rPr>
                <w:rFonts w:cs="Arial"/>
                <w:sz w:val="18"/>
                <w:szCs w:val="18"/>
              </w:rPr>
            </w:pPr>
            <w:r w:rsidRPr="00503A0D">
              <w:rPr>
                <w:rFonts w:cs="Arial"/>
                <w:sz w:val="18"/>
                <w:szCs w:val="18"/>
              </w:rPr>
              <w:t>M. Pakbier</w:t>
            </w:r>
          </w:p>
        </w:tc>
      </w:tr>
    </w:tbl>
    <w:p w14:paraId="596FF210" w14:textId="77777777" w:rsidR="000F2A18" w:rsidRDefault="000F2A18" w:rsidP="00A82659">
      <w:pPr>
        <w:rPr>
          <w:rFonts w:ascii="Comic Sans MS" w:hAnsi="Comic Sans MS"/>
        </w:rPr>
      </w:pPr>
    </w:p>
    <w:p w14:paraId="36A64587" w14:textId="77777777" w:rsidR="003210E1" w:rsidRDefault="003210E1">
      <w:pPr>
        <w:rPr>
          <w:rFonts w:ascii="Comic Sans MS" w:hAnsi="Comic Sans MS"/>
        </w:rPr>
      </w:pPr>
    </w:p>
    <w:sectPr w:rsidR="003210E1" w:rsidSect="00A82659">
      <w:headerReference w:type="even" r:id="rId8"/>
      <w:headerReference w:type="default" r:id="rId9"/>
      <w:footerReference w:type="default" r:id="rId10"/>
      <w:footerReference w:type="first" r:id="rId11"/>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471C" w14:textId="77777777" w:rsidR="00952F63" w:rsidRDefault="00952F63">
      <w:r>
        <w:separator/>
      </w:r>
    </w:p>
  </w:endnote>
  <w:endnote w:type="continuationSeparator" w:id="0">
    <w:p w14:paraId="3A2603A0" w14:textId="77777777" w:rsidR="00952F63" w:rsidRDefault="009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2000000000000000000"/>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DAE6" w14:textId="77777777" w:rsidR="00623FE9" w:rsidRDefault="0027036D" w:rsidP="00966CF7">
    <w:pPr>
      <w:pStyle w:val="Voettekst"/>
      <w:jc w:val="right"/>
    </w:pPr>
    <w:r>
      <w:rPr>
        <w:rStyle w:val="Paginanummer"/>
      </w:rPr>
      <w:fldChar w:fldCharType="begin"/>
    </w:r>
    <w:r w:rsidR="00623FE9">
      <w:rPr>
        <w:rStyle w:val="Paginanummer"/>
      </w:rPr>
      <w:instrText xml:space="preserve"> PAGE </w:instrText>
    </w:r>
    <w:r>
      <w:rPr>
        <w:rStyle w:val="Paginanummer"/>
      </w:rPr>
      <w:fldChar w:fldCharType="separate"/>
    </w:r>
    <w:r w:rsidR="000A20E6">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57594"/>
      <w:docPartObj>
        <w:docPartGallery w:val="Page Numbers (Bottom of Page)"/>
        <w:docPartUnique/>
      </w:docPartObj>
    </w:sdtPr>
    <w:sdtContent>
      <w:p w14:paraId="48FB60E3" w14:textId="77777777" w:rsidR="00503A0D" w:rsidRDefault="00503A0D">
        <w:pPr>
          <w:pStyle w:val="Voettekst"/>
          <w:jc w:val="right"/>
        </w:pPr>
      </w:p>
      <w:p w14:paraId="6EC0C951" w14:textId="77777777" w:rsidR="00503A0D" w:rsidRDefault="00503A0D">
        <w:pPr>
          <w:pStyle w:val="Voettekst"/>
          <w:jc w:val="right"/>
        </w:pPr>
      </w:p>
      <w:p w14:paraId="74F814FE" w14:textId="77777777" w:rsidR="00503A0D" w:rsidRDefault="00503A0D">
        <w:pPr>
          <w:pStyle w:val="Voettekst"/>
          <w:jc w:val="right"/>
        </w:pPr>
      </w:p>
      <w:p w14:paraId="6C4A5C1E" w14:textId="77777777" w:rsidR="00623FE9" w:rsidRDefault="00000000">
        <w:pPr>
          <w:pStyle w:val="Voettekst"/>
          <w:jc w:val="right"/>
        </w:pPr>
        <w:r>
          <w:fldChar w:fldCharType="begin"/>
        </w:r>
        <w:r>
          <w:instrText xml:space="preserve"> PAGE   \* MERGEFORMAT </w:instrText>
        </w:r>
        <w:r>
          <w:fldChar w:fldCharType="separate"/>
        </w:r>
        <w:r w:rsidR="000A20E6">
          <w:rPr>
            <w:noProof/>
          </w:rPr>
          <w:t>1</w:t>
        </w:r>
        <w:r>
          <w:rPr>
            <w:noProof/>
          </w:rPr>
          <w:fldChar w:fldCharType="end"/>
        </w:r>
      </w:p>
    </w:sdtContent>
  </w:sdt>
  <w:p w14:paraId="7BBCD0DF" w14:textId="77777777" w:rsidR="00623FE9" w:rsidRDefault="00623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FB2C" w14:textId="77777777" w:rsidR="00952F63" w:rsidRDefault="00952F63">
      <w:r>
        <w:separator/>
      </w:r>
    </w:p>
  </w:footnote>
  <w:footnote w:type="continuationSeparator" w:id="0">
    <w:p w14:paraId="4D90F0B6" w14:textId="77777777" w:rsidR="00952F63" w:rsidRDefault="0095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D53" w14:textId="77777777" w:rsidR="00623FE9" w:rsidRDefault="0027036D">
    <w:pPr>
      <w:pStyle w:val="Koptekst"/>
      <w:framePr w:wrap="around" w:vAnchor="text" w:hAnchor="margin" w:xAlign="center" w:y="1"/>
      <w:rPr>
        <w:rStyle w:val="Paginanummer"/>
      </w:rPr>
    </w:pPr>
    <w:r>
      <w:rPr>
        <w:rStyle w:val="Paginanummer"/>
      </w:rPr>
      <w:fldChar w:fldCharType="begin"/>
    </w:r>
    <w:r w:rsidR="00623FE9">
      <w:rPr>
        <w:rStyle w:val="Paginanummer"/>
      </w:rPr>
      <w:instrText xml:space="preserve">PAGE  </w:instrText>
    </w:r>
    <w:r>
      <w:rPr>
        <w:rStyle w:val="Paginanummer"/>
      </w:rPr>
      <w:fldChar w:fldCharType="separate"/>
    </w:r>
    <w:r w:rsidR="00623FE9">
      <w:rPr>
        <w:rStyle w:val="Paginanummer"/>
        <w:noProof/>
      </w:rPr>
      <w:t>1</w:t>
    </w:r>
    <w:r>
      <w:rPr>
        <w:rStyle w:val="Paginanummer"/>
      </w:rPr>
      <w:fldChar w:fldCharType="end"/>
    </w:r>
  </w:p>
  <w:p w14:paraId="7E1DB1F0" w14:textId="77777777" w:rsidR="00623FE9" w:rsidRDefault="00623F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D1D6" w14:textId="77777777" w:rsidR="00623FE9" w:rsidRPr="001441D0" w:rsidRDefault="00623FE9" w:rsidP="008760B3">
    <w:pPr>
      <w:pStyle w:val="Koptekst"/>
      <w:jc w:val="right"/>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4"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5"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13"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15"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1043676761">
    <w:abstractNumId w:val="8"/>
  </w:num>
  <w:num w:numId="2" w16cid:durableId="1812164148">
    <w:abstractNumId w:val="3"/>
  </w:num>
  <w:num w:numId="3" w16cid:durableId="2000380320">
    <w:abstractNumId w:val="14"/>
  </w:num>
  <w:num w:numId="4" w16cid:durableId="487021954">
    <w:abstractNumId w:val="11"/>
  </w:num>
  <w:num w:numId="5" w16cid:durableId="916015203">
    <w:abstractNumId w:val="13"/>
  </w:num>
  <w:num w:numId="6" w16cid:durableId="1013990460">
    <w:abstractNumId w:val="10"/>
  </w:num>
  <w:num w:numId="7" w16cid:durableId="2215218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806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5377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8723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343325">
    <w:abstractNumId w:val="19"/>
  </w:num>
  <w:num w:numId="12" w16cid:durableId="1343581312">
    <w:abstractNumId w:val="12"/>
  </w:num>
  <w:num w:numId="13" w16cid:durableId="763651986">
    <w:abstractNumId w:val="0"/>
  </w:num>
  <w:num w:numId="14" w16cid:durableId="294142096">
    <w:abstractNumId w:val="6"/>
  </w:num>
  <w:num w:numId="15" w16cid:durableId="963734042">
    <w:abstractNumId w:val="2"/>
  </w:num>
  <w:num w:numId="16" w16cid:durableId="724792965">
    <w:abstractNumId w:val="1"/>
  </w:num>
  <w:num w:numId="17" w16cid:durableId="1568490444">
    <w:abstractNumId w:val="16"/>
  </w:num>
  <w:num w:numId="18" w16cid:durableId="333071686">
    <w:abstractNumId w:val="4"/>
  </w:num>
  <w:num w:numId="19" w16cid:durableId="1086263984">
    <w:abstractNumId w:val="20"/>
  </w:num>
  <w:num w:numId="20" w16cid:durableId="2072145045">
    <w:abstractNumId w:val="18"/>
  </w:num>
  <w:num w:numId="21" w16cid:durableId="15048406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390"/>
    <w:rsid w:val="0005748E"/>
    <w:rsid w:val="000575B6"/>
    <w:rsid w:val="00057739"/>
    <w:rsid w:val="00057941"/>
    <w:rsid w:val="000609B4"/>
    <w:rsid w:val="00060B37"/>
    <w:rsid w:val="00060F9A"/>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E6F"/>
    <w:rsid w:val="000A0177"/>
    <w:rsid w:val="000A07E0"/>
    <w:rsid w:val="000A09E0"/>
    <w:rsid w:val="000A0B2D"/>
    <w:rsid w:val="000A0F8F"/>
    <w:rsid w:val="000A1327"/>
    <w:rsid w:val="000A1751"/>
    <w:rsid w:val="000A20E6"/>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EC6"/>
    <w:rsid w:val="00137F2D"/>
    <w:rsid w:val="00140250"/>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1F7594"/>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36D"/>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81"/>
    <w:rsid w:val="002B3510"/>
    <w:rsid w:val="002B3946"/>
    <w:rsid w:val="002B3E39"/>
    <w:rsid w:val="002B4573"/>
    <w:rsid w:val="002B46BC"/>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01"/>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88E"/>
    <w:rsid w:val="00335940"/>
    <w:rsid w:val="00335C43"/>
    <w:rsid w:val="00336426"/>
    <w:rsid w:val="00336933"/>
    <w:rsid w:val="00336F90"/>
    <w:rsid w:val="003371F0"/>
    <w:rsid w:val="00337748"/>
    <w:rsid w:val="00337ABD"/>
    <w:rsid w:val="00337C8C"/>
    <w:rsid w:val="003400A3"/>
    <w:rsid w:val="003406F6"/>
    <w:rsid w:val="003408F0"/>
    <w:rsid w:val="00340CA5"/>
    <w:rsid w:val="00340F7F"/>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F6D"/>
    <w:rsid w:val="00356365"/>
    <w:rsid w:val="0035640F"/>
    <w:rsid w:val="00356637"/>
    <w:rsid w:val="00356D0E"/>
    <w:rsid w:val="0035726F"/>
    <w:rsid w:val="00357966"/>
    <w:rsid w:val="00357A88"/>
    <w:rsid w:val="003607FB"/>
    <w:rsid w:val="0036123A"/>
    <w:rsid w:val="003618ED"/>
    <w:rsid w:val="00361D97"/>
    <w:rsid w:val="00362605"/>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91A"/>
    <w:rsid w:val="003B1CB6"/>
    <w:rsid w:val="003B1F6B"/>
    <w:rsid w:val="003B2431"/>
    <w:rsid w:val="003B2661"/>
    <w:rsid w:val="003B2A4F"/>
    <w:rsid w:val="003B31F4"/>
    <w:rsid w:val="003B330A"/>
    <w:rsid w:val="003B348B"/>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527"/>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0D"/>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4EB"/>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4442"/>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417D"/>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327"/>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9C7"/>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58E"/>
    <w:rsid w:val="00646AC2"/>
    <w:rsid w:val="00646B82"/>
    <w:rsid w:val="00646D4F"/>
    <w:rsid w:val="00646DDC"/>
    <w:rsid w:val="00646EA8"/>
    <w:rsid w:val="00647503"/>
    <w:rsid w:val="00647990"/>
    <w:rsid w:val="00647E65"/>
    <w:rsid w:val="00650098"/>
    <w:rsid w:val="00650340"/>
    <w:rsid w:val="00650DFC"/>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95C"/>
    <w:rsid w:val="00697A15"/>
    <w:rsid w:val="00697B93"/>
    <w:rsid w:val="00697F01"/>
    <w:rsid w:val="006A00F9"/>
    <w:rsid w:val="006A018F"/>
    <w:rsid w:val="006A03AB"/>
    <w:rsid w:val="006A095B"/>
    <w:rsid w:val="006A0BE7"/>
    <w:rsid w:val="006A0E98"/>
    <w:rsid w:val="006A10EF"/>
    <w:rsid w:val="006A11F3"/>
    <w:rsid w:val="006A149D"/>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EFB"/>
    <w:rsid w:val="00915E59"/>
    <w:rsid w:val="00916013"/>
    <w:rsid w:val="0091618C"/>
    <w:rsid w:val="0091632C"/>
    <w:rsid w:val="009165B3"/>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9C3"/>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2F63"/>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21AA"/>
    <w:rsid w:val="00AE2626"/>
    <w:rsid w:val="00AE2866"/>
    <w:rsid w:val="00AE3090"/>
    <w:rsid w:val="00AE3DF3"/>
    <w:rsid w:val="00AE3E15"/>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042"/>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E2C"/>
    <w:rsid w:val="00D243F2"/>
    <w:rsid w:val="00D24D6D"/>
    <w:rsid w:val="00D24F2F"/>
    <w:rsid w:val="00D252D1"/>
    <w:rsid w:val="00D25431"/>
    <w:rsid w:val="00D254CC"/>
    <w:rsid w:val="00D25744"/>
    <w:rsid w:val="00D257A8"/>
    <w:rsid w:val="00D25A7E"/>
    <w:rsid w:val="00D2622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E4E"/>
    <w:rsid w:val="00D54077"/>
    <w:rsid w:val="00D54819"/>
    <w:rsid w:val="00D54C07"/>
    <w:rsid w:val="00D54FD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13A"/>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275"/>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158"/>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3FBDE"/>
  <w15:docId w15:val="{38318419-DDD3-5F42-9043-16CF206D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534930806">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897981338">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E5AFE-EF81-486F-989B-1EEA9459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461</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m.pakbier</cp:lastModifiedBy>
  <cp:revision>3</cp:revision>
  <cp:lastPrinted>2020-09-02T08:47:00Z</cp:lastPrinted>
  <dcterms:created xsi:type="dcterms:W3CDTF">2022-07-06T14:28:00Z</dcterms:created>
  <dcterms:modified xsi:type="dcterms:W3CDTF">2022-07-08T06:19:00Z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