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1395" w14:textId="77777777" w:rsidR="00C90AA8" w:rsidRPr="00A73226" w:rsidRDefault="00C90AA8" w:rsidP="00C90AA8">
      <w:pPr>
        <w:spacing w:after="0"/>
        <w:jc w:val="both"/>
        <w:rPr>
          <w:rFonts w:ascii="Segoe UI" w:hAnsi="Segoe UI" w:cs="Segoe UI"/>
          <w:b/>
          <w:bCs/>
          <w:sz w:val="32"/>
          <w:szCs w:val="32"/>
        </w:rPr>
      </w:pPr>
      <w:r w:rsidRPr="00A73226">
        <w:rPr>
          <w:rFonts w:ascii="Segoe UI" w:hAnsi="Segoe UI" w:cs="Segoe UI"/>
          <w:b/>
          <w:bCs/>
          <w:sz w:val="32"/>
          <w:szCs w:val="32"/>
        </w:rPr>
        <w:t>Overleg Kernteam klimaatadaptatie</w:t>
      </w:r>
    </w:p>
    <w:p w14:paraId="6355F14D" w14:textId="1E664217" w:rsidR="00C90AA8" w:rsidRPr="00A73226" w:rsidRDefault="00C90AA8" w:rsidP="00C90AA8">
      <w:pPr>
        <w:spacing w:after="0"/>
        <w:jc w:val="both"/>
        <w:rPr>
          <w:rFonts w:ascii="Segoe UI" w:hAnsi="Segoe UI" w:cs="Segoe UI"/>
        </w:rPr>
      </w:pPr>
      <w:r w:rsidRPr="00A73226">
        <w:rPr>
          <w:rFonts w:ascii="Segoe UI" w:hAnsi="Segoe UI" w:cs="Segoe UI"/>
        </w:rPr>
        <w:t xml:space="preserve">Datum: </w:t>
      </w:r>
      <w:r w:rsidRPr="00A73226">
        <w:rPr>
          <w:rFonts w:ascii="Segoe UI" w:hAnsi="Segoe UI" w:cs="Segoe UI"/>
        </w:rPr>
        <w:tab/>
      </w:r>
      <w:r w:rsidRPr="00A73226">
        <w:rPr>
          <w:rFonts w:ascii="Segoe UI" w:hAnsi="Segoe UI" w:cs="Segoe UI"/>
        </w:rPr>
        <w:tab/>
        <w:t>17 april</w:t>
      </w:r>
    </w:p>
    <w:p w14:paraId="7316FD52" w14:textId="4BDC3260" w:rsidR="00C90AA8" w:rsidRPr="00A73226" w:rsidRDefault="00C90AA8" w:rsidP="00C90AA8">
      <w:pPr>
        <w:spacing w:after="0"/>
        <w:jc w:val="both"/>
        <w:rPr>
          <w:rFonts w:ascii="Segoe UI" w:hAnsi="Segoe UI" w:cs="Segoe UI"/>
        </w:rPr>
      </w:pPr>
      <w:r w:rsidRPr="00A73226">
        <w:rPr>
          <w:rFonts w:ascii="Segoe UI" w:hAnsi="Segoe UI" w:cs="Segoe UI"/>
        </w:rPr>
        <w:t>Locatie:</w:t>
      </w:r>
      <w:r w:rsidRPr="00A73226">
        <w:rPr>
          <w:rFonts w:ascii="Segoe UI" w:hAnsi="Segoe UI" w:cs="Segoe UI"/>
        </w:rPr>
        <w:tab/>
      </w:r>
      <w:r w:rsidRPr="00A73226">
        <w:rPr>
          <w:rFonts w:ascii="Segoe UI" w:hAnsi="Segoe UI" w:cs="Segoe UI"/>
        </w:rPr>
        <w:tab/>
        <w:t>Stadsregio Parkstad</w:t>
      </w:r>
    </w:p>
    <w:p w14:paraId="540137A3" w14:textId="77777777" w:rsidR="00C90AA8" w:rsidRPr="00A73226" w:rsidRDefault="00C90AA8" w:rsidP="00C90AA8">
      <w:pPr>
        <w:spacing w:after="0"/>
        <w:jc w:val="both"/>
        <w:rPr>
          <w:rFonts w:ascii="Segoe UI" w:hAnsi="Segoe UI" w:cs="Segoe UI"/>
        </w:rPr>
      </w:pPr>
    </w:p>
    <w:p w14:paraId="4DC04400" w14:textId="77777777" w:rsidR="00C90AA8" w:rsidRPr="00A73226" w:rsidRDefault="00C90AA8" w:rsidP="00C90AA8">
      <w:pPr>
        <w:spacing w:after="0"/>
        <w:jc w:val="both"/>
        <w:rPr>
          <w:rFonts w:ascii="Segoe UI" w:hAnsi="Segoe UI" w:cs="Segoe UI"/>
          <w:b/>
          <w:bCs/>
        </w:rPr>
      </w:pPr>
      <w:r w:rsidRPr="00A73226">
        <w:rPr>
          <w:rFonts w:ascii="Segoe UI" w:hAnsi="Segoe UI" w:cs="Segoe UI"/>
          <w:b/>
          <w:bCs/>
        </w:rPr>
        <w:t>Aanwezig</w:t>
      </w:r>
      <w:r w:rsidRPr="00A73226">
        <w:rPr>
          <w:rFonts w:ascii="Segoe UI" w:hAnsi="Segoe UI" w:cs="Segoe UI"/>
          <w:b/>
          <w:bCs/>
        </w:rPr>
        <w:tab/>
      </w:r>
    </w:p>
    <w:p w14:paraId="63FDA165" w14:textId="77777777" w:rsidR="00C90AA8" w:rsidRPr="00A73226" w:rsidRDefault="00C90AA8" w:rsidP="00C90AA8">
      <w:pPr>
        <w:pStyle w:val="Lijstalinea"/>
        <w:numPr>
          <w:ilvl w:val="0"/>
          <w:numId w:val="1"/>
        </w:numPr>
        <w:spacing w:after="0"/>
        <w:jc w:val="both"/>
        <w:rPr>
          <w:rFonts w:ascii="Segoe UI" w:hAnsi="Segoe UI" w:cs="Segoe UI"/>
        </w:rPr>
      </w:pPr>
      <w:r w:rsidRPr="00A73226">
        <w:rPr>
          <w:rFonts w:ascii="Segoe UI" w:hAnsi="Segoe UI" w:cs="Segoe UI"/>
        </w:rPr>
        <w:t xml:space="preserve">Patrick </w:t>
      </w:r>
      <w:proofErr w:type="spellStart"/>
      <w:r w:rsidRPr="00A73226">
        <w:rPr>
          <w:rFonts w:ascii="Segoe UI" w:hAnsi="Segoe UI" w:cs="Segoe UI"/>
        </w:rPr>
        <w:t>Emmet</w:t>
      </w:r>
      <w:proofErr w:type="spellEnd"/>
    </w:p>
    <w:p w14:paraId="7DD39B24" w14:textId="77777777" w:rsidR="00C90AA8" w:rsidRPr="00A73226" w:rsidRDefault="00C90AA8" w:rsidP="00C90AA8">
      <w:pPr>
        <w:pStyle w:val="Lijstalinea"/>
        <w:numPr>
          <w:ilvl w:val="0"/>
          <w:numId w:val="1"/>
        </w:numPr>
        <w:spacing w:after="0"/>
        <w:jc w:val="both"/>
        <w:rPr>
          <w:rFonts w:ascii="Segoe UI" w:hAnsi="Segoe UI" w:cs="Segoe UI"/>
        </w:rPr>
      </w:pPr>
      <w:r w:rsidRPr="00A73226">
        <w:rPr>
          <w:rFonts w:ascii="Segoe UI" w:hAnsi="Segoe UI" w:cs="Segoe UI"/>
        </w:rPr>
        <w:t>Nancy Ockeloen</w:t>
      </w:r>
    </w:p>
    <w:p w14:paraId="56C22F9B" w14:textId="74D74774" w:rsidR="00C90AA8" w:rsidRDefault="00C90AA8" w:rsidP="00C90AA8">
      <w:pPr>
        <w:pStyle w:val="Lijstalinea"/>
        <w:numPr>
          <w:ilvl w:val="0"/>
          <w:numId w:val="1"/>
        </w:numPr>
        <w:spacing w:after="0"/>
        <w:jc w:val="both"/>
        <w:rPr>
          <w:rFonts w:ascii="Segoe UI" w:hAnsi="Segoe UI" w:cs="Segoe UI"/>
        </w:rPr>
      </w:pPr>
      <w:r w:rsidRPr="00A73226">
        <w:rPr>
          <w:rFonts w:ascii="Segoe UI" w:hAnsi="Segoe UI" w:cs="Segoe UI"/>
        </w:rPr>
        <w:t xml:space="preserve">Ralph Maes </w:t>
      </w:r>
    </w:p>
    <w:p w14:paraId="01DD2DDF" w14:textId="09A04A6D" w:rsidR="003331E5" w:rsidRPr="00A73226" w:rsidRDefault="003331E5" w:rsidP="00C90AA8">
      <w:pPr>
        <w:pStyle w:val="Lijstalinea"/>
        <w:numPr>
          <w:ilvl w:val="0"/>
          <w:numId w:val="1"/>
        </w:numPr>
        <w:spacing w:after="0"/>
        <w:jc w:val="both"/>
        <w:rPr>
          <w:rFonts w:ascii="Segoe UI" w:hAnsi="Segoe UI" w:cs="Segoe UI"/>
        </w:rPr>
      </w:pPr>
      <w:r>
        <w:rPr>
          <w:rFonts w:ascii="Segoe UI" w:hAnsi="Segoe UI" w:cs="Segoe UI"/>
        </w:rPr>
        <w:t>Marco de Redelijkheid</w:t>
      </w:r>
    </w:p>
    <w:p w14:paraId="72A93F7F" w14:textId="77777777" w:rsidR="00C90AA8" w:rsidRPr="00A73226" w:rsidRDefault="00C90AA8" w:rsidP="00C90AA8">
      <w:pPr>
        <w:pStyle w:val="Lijstalinea"/>
        <w:numPr>
          <w:ilvl w:val="0"/>
          <w:numId w:val="1"/>
        </w:numPr>
        <w:spacing w:after="0"/>
        <w:jc w:val="both"/>
        <w:rPr>
          <w:rFonts w:ascii="Segoe UI" w:hAnsi="Segoe UI" w:cs="Segoe UI"/>
        </w:rPr>
      </w:pPr>
      <w:r w:rsidRPr="00A73226">
        <w:rPr>
          <w:rFonts w:ascii="Segoe UI" w:hAnsi="Segoe UI" w:cs="Segoe UI"/>
        </w:rPr>
        <w:t>Marc Putmans</w:t>
      </w:r>
    </w:p>
    <w:p w14:paraId="61F5E472" w14:textId="77777777" w:rsidR="00C90AA8" w:rsidRPr="00A73226" w:rsidRDefault="00C90AA8" w:rsidP="00C90AA8">
      <w:pPr>
        <w:pStyle w:val="Lijstalinea"/>
        <w:numPr>
          <w:ilvl w:val="0"/>
          <w:numId w:val="1"/>
        </w:numPr>
        <w:spacing w:after="0"/>
        <w:jc w:val="both"/>
        <w:rPr>
          <w:rFonts w:ascii="Segoe UI" w:hAnsi="Segoe UI" w:cs="Segoe UI"/>
        </w:rPr>
      </w:pPr>
      <w:r w:rsidRPr="00A73226">
        <w:rPr>
          <w:rFonts w:ascii="Segoe UI" w:hAnsi="Segoe UI" w:cs="Segoe UI"/>
        </w:rPr>
        <w:t>Thijs Alma</w:t>
      </w:r>
    </w:p>
    <w:p w14:paraId="32A66364" w14:textId="6C245EC6" w:rsidR="00CD6142" w:rsidRPr="00A73226" w:rsidRDefault="00CD6142"/>
    <w:p w14:paraId="4A54BD4D" w14:textId="2FEF180D" w:rsidR="00C90AA8" w:rsidRPr="00A73226" w:rsidRDefault="00C90AA8"/>
    <w:p w14:paraId="316D37C9" w14:textId="77777777" w:rsidR="00C90AA8" w:rsidRPr="00A73226" w:rsidRDefault="00C90AA8" w:rsidP="00C90AA8">
      <w:pPr>
        <w:spacing w:after="0"/>
        <w:jc w:val="both"/>
        <w:rPr>
          <w:rFonts w:ascii="Segoe UI" w:hAnsi="Segoe UI" w:cs="Segoe UI"/>
          <w:b/>
          <w:bCs/>
        </w:rPr>
      </w:pPr>
      <w:r w:rsidRPr="00A73226">
        <w:rPr>
          <w:rFonts w:ascii="Segoe UI" w:hAnsi="Segoe UI" w:cs="Segoe UI"/>
          <w:b/>
          <w:bCs/>
        </w:rPr>
        <w:t>Actiepunten</w:t>
      </w:r>
    </w:p>
    <w:p w14:paraId="027A85D7" w14:textId="2AB160C1" w:rsidR="00C90AA8" w:rsidRDefault="00D11353" w:rsidP="00D11353">
      <w:pPr>
        <w:pStyle w:val="Lijstalinea"/>
        <w:numPr>
          <w:ilvl w:val="0"/>
          <w:numId w:val="2"/>
        </w:numPr>
      </w:pPr>
      <w:r>
        <w:t xml:space="preserve">Uitgangsnotitie </w:t>
      </w:r>
      <w:proofErr w:type="spellStart"/>
      <w:r>
        <w:t>Waterklaar</w:t>
      </w:r>
      <w:proofErr w:type="spellEnd"/>
      <w:r>
        <w:t xml:space="preserve"> delen met het kernteam.</w:t>
      </w:r>
    </w:p>
    <w:p w14:paraId="71D9A7F9" w14:textId="088B7E13" w:rsidR="0095784A" w:rsidRDefault="0095784A" w:rsidP="00D11353">
      <w:pPr>
        <w:pStyle w:val="Lijstalinea"/>
        <w:numPr>
          <w:ilvl w:val="0"/>
          <w:numId w:val="2"/>
        </w:numPr>
      </w:pPr>
      <w:r>
        <w:t xml:space="preserve">De reacties op de stukken van SWECO worden herzien. </w:t>
      </w:r>
    </w:p>
    <w:p w14:paraId="452CBEA8" w14:textId="266A101B" w:rsidR="0095784A" w:rsidRDefault="0095784A" w:rsidP="00D11353">
      <w:pPr>
        <w:pStyle w:val="Lijstalinea"/>
        <w:numPr>
          <w:ilvl w:val="0"/>
          <w:numId w:val="2"/>
        </w:numPr>
      </w:pPr>
      <w:r>
        <w:t xml:space="preserve">17 mei extra sessie plannen </w:t>
      </w:r>
    </w:p>
    <w:p w14:paraId="4DF8A34A" w14:textId="47CF69A1" w:rsidR="0095784A" w:rsidRDefault="0095784A" w:rsidP="00D11353">
      <w:pPr>
        <w:pStyle w:val="Lijstalinea"/>
        <w:numPr>
          <w:ilvl w:val="0"/>
          <w:numId w:val="2"/>
        </w:numPr>
      </w:pPr>
      <w:r>
        <w:t>Voorafgaande aan de verdiepingssessie wordt er een voorbereiding gedaan op deze sessie.</w:t>
      </w:r>
    </w:p>
    <w:p w14:paraId="7B141822" w14:textId="792DEE8E" w:rsidR="009F73FF" w:rsidRDefault="009F73FF" w:rsidP="00D11353">
      <w:pPr>
        <w:pStyle w:val="Lijstalinea"/>
        <w:numPr>
          <w:ilvl w:val="0"/>
          <w:numId w:val="2"/>
        </w:numPr>
      </w:pPr>
      <w:r>
        <w:t xml:space="preserve">Kaarten </w:t>
      </w:r>
      <w:proofErr w:type="spellStart"/>
      <w:r>
        <w:t>Deltares</w:t>
      </w:r>
      <w:proofErr w:type="spellEnd"/>
      <w:r>
        <w:t xml:space="preserve"> (lagenbepaling delen)</w:t>
      </w:r>
      <w:r w:rsidR="00443C55">
        <w:t xml:space="preserve"> worden gedeeld</w:t>
      </w:r>
    </w:p>
    <w:p w14:paraId="35380041" w14:textId="3BFB0F1A" w:rsidR="006C060A" w:rsidRDefault="006C060A" w:rsidP="006C060A">
      <w:pPr>
        <w:pStyle w:val="Lijstalinea"/>
        <w:numPr>
          <w:ilvl w:val="0"/>
          <w:numId w:val="2"/>
        </w:numPr>
      </w:pPr>
      <w:r>
        <w:t xml:space="preserve">Marco </w:t>
      </w:r>
      <w:r w:rsidR="00443C55">
        <w:t xml:space="preserve">deelt </w:t>
      </w:r>
      <w:r>
        <w:t xml:space="preserve">rapportage </w:t>
      </w:r>
      <w:r w:rsidR="00443C55">
        <w:t>over “</w:t>
      </w:r>
      <w:r>
        <w:t>waar bouwen binnen watergevaargebieden mogelijk is</w:t>
      </w:r>
      <w:r w:rsidR="00443C55">
        <w:t>”</w:t>
      </w:r>
    </w:p>
    <w:p w14:paraId="43F1FB06" w14:textId="77777777" w:rsidR="006C060A" w:rsidRDefault="006C060A" w:rsidP="006C060A">
      <w:pPr>
        <w:ind w:left="360"/>
      </w:pPr>
    </w:p>
    <w:p w14:paraId="41D072F7" w14:textId="77777777" w:rsidR="003331E5" w:rsidRPr="00A73226" w:rsidRDefault="003331E5"/>
    <w:tbl>
      <w:tblPr>
        <w:tblStyle w:val="Tabelraster"/>
        <w:tblW w:w="0" w:type="auto"/>
        <w:tblLook w:val="04A0" w:firstRow="1" w:lastRow="0" w:firstColumn="1" w:lastColumn="0" w:noHBand="0" w:noVBand="1"/>
      </w:tblPr>
      <w:tblGrid>
        <w:gridCol w:w="1980"/>
        <w:gridCol w:w="7082"/>
      </w:tblGrid>
      <w:tr w:rsidR="00C90AA8" w:rsidRPr="00A73226" w14:paraId="337C27D4" w14:textId="77777777" w:rsidTr="00C90AA8">
        <w:tc>
          <w:tcPr>
            <w:tcW w:w="9062" w:type="dxa"/>
            <w:gridSpan w:val="2"/>
          </w:tcPr>
          <w:p w14:paraId="6478B7B0" w14:textId="77777777" w:rsidR="00C90AA8" w:rsidRPr="00A73226" w:rsidRDefault="00C90AA8" w:rsidP="00C90AA8">
            <w:pPr>
              <w:jc w:val="both"/>
              <w:rPr>
                <w:rFonts w:ascii="Segoe UI" w:hAnsi="Segoe UI" w:cs="Segoe UI"/>
                <w:b/>
                <w:bCs/>
              </w:rPr>
            </w:pPr>
            <w:r w:rsidRPr="00A73226">
              <w:rPr>
                <w:rFonts w:ascii="Segoe UI" w:hAnsi="Segoe UI" w:cs="Segoe UI"/>
                <w:b/>
                <w:bCs/>
              </w:rPr>
              <w:t>Regionale processen</w:t>
            </w:r>
          </w:p>
          <w:p w14:paraId="615C7833" w14:textId="77777777" w:rsidR="00C90AA8" w:rsidRPr="00A73226" w:rsidRDefault="00C90AA8"/>
        </w:tc>
      </w:tr>
      <w:tr w:rsidR="00C90AA8" w:rsidRPr="00A73226" w14:paraId="0C43FDCB" w14:textId="77777777" w:rsidTr="00C90AA8">
        <w:tc>
          <w:tcPr>
            <w:tcW w:w="1980" w:type="dxa"/>
          </w:tcPr>
          <w:p w14:paraId="7DDE2459" w14:textId="515E7D9E" w:rsidR="00C90AA8" w:rsidRPr="00A73226" w:rsidRDefault="00C90AA8" w:rsidP="00C90AA8">
            <w:pPr>
              <w:spacing w:after="160" w:line="259" w:lineRule="auto"/>
            </w:pPr>
            <w:r w:rsidRPr="00A73226">
              <w:t>A1 Algemene zaken</w:t>
            </w:r>
          </w:p>
        </w:tc>
        <w:tc>
          <w:tcPr>
            <w:tcW w:w="7082" w:type="dxa"/>
          </w:tcPr>
          <w:p w14:paraId="4E256943" w14:textId="72AFA3F0" w:rsidR="00C90AA8" w:rsidRPr="00A73226" w:rsidRDefault="003331E5">
            <w:r>
              <w:t>Terugkoppeling over de subsidie regeling is besproken.</w:t>
            </w:r>
          </w:p>
        </w:tc>
      </w:tr>
      <w:tr w:rsidR="00C90AA8" w:rsidRPr="00A73226" w14:paraId="7E47BAAD" w14:textId="77777777" w:rsidTr="00C90AA8">
        <w:tc>
          <w:tcPr>
            <w:tcW w:w="1980" w:type="dxa"/>
          </w:tcPr>
          <w:p w14:paraId="276C0F0B" w14:textId="0E3C662F" w:rsidR="00C90AA8" w:rsidRPr="00A73226" w:rsidRDefault="00C90AA8" w:rsidP="00C90AA8">
            <w:pPr>
              <w:spacing w:after="160" w:line="259" w:lineRule="auto"/>
            </w:pPr>
            <w:r w:rsidRPr="00A73226">
              <w:t>A1 Algemene zaken</w:t>
            </w:r>
          </w:p>
        </w:tc>
        <w:tc>
          <w:tcPr>
            <w:tcW w:w="7082" w:type="dxa"/>
          </w:tcPr>
          <w:p w14:paraId="7789D89B" w14:textId="773A638B" w:rsidR="00C90AA8" w:rsidRPr="00A73226" w:rsidRDefault="003331E5">
            <w:r>
              <w:t>-</w:t>
            </w:r>
          </w:p>
        </w:tc>
      </w:tr>
      <w:tr w:rsidR="00C90AA8" w:rsidRPr="00A73226" w14:paraId="7E841621" w14:textId="77777777" w:rsidTr="00C90AA8">
        <w:tc>
          <w:tcPr>
            <w:tcW w:w="1980" w:type="dxa"/>
          </w:tcPr>
          <w:p w14:paraId="20D16F2B" w14:textId="5A401999" w:rsidR="00C90AA8" w:rsidRPr="00A73226" w:rsidRDefault="00C90AA8" w:rsidP="00C90AA8">
            <w:pPr>
              <w:spacing w:after="160" w:line="259" w:lineRule="auto"/>
            </w:pPr>
            <w:r w:rsidRPr="00A73226">
              <w:t>A3 Stuurgroep Waterwerkregio</w:t>
            </w:r>
          </w:p>
        </w:tc>
        <w:tc>
          <w:tcPr>
            <w:tcW w:w="7082" w:type="dxa"/>
          </w:tcPr>
          <w:p w14:paraId="1DA282E4" w14:textId="26C5A65A" w:rsidR="00C90AA8" w:rsidRPr="00A73226" w:rsidRDefault="003331E5">
            <w:r>
              <w:t>6 juli</w:t>
            </w:r>
          </w:p>
        </w:tc>
      </w:tr>
      <w:tr w:rsidR="00C90AA8" w:rsidRPr="00A73226" w14:paraId="52666F1D" w14:textId="77777777" w:rsidTr="00C90AA8">
        <w:tc>
          <w:tcPr>
            <w:tcW w:w="1980" w:type="dxa"/>
          </w:tcPr>
          <w:p w14:paraId="2C51DDC2" w14:textId="29F9EBBB" w:rsidR="00C90AA8" w:rsidRPr="00A73226" w:rsidRDefault="00C90AA8" w:rsidP="00C90AA8">
            <w:pPr>
              <w:spacing w:after="160" w:line="259" w:lineRule="auto"/>
            </w:pPr>
            <w:r w:rsidRPr="00A73226">
              <w:t>A4 Bestuurscommissie</w:t>
            </w:r>
          </w:p>
        </w:tc>
        <w:tc>
          <w:tcPr>
            <w:tcW w:w="7082" w:type="dxa"/>
          </w:tcPr>
          <w:p w14:paraId="5BB5395C" w14:textId="078B8332" w:rsidR="00C90AA8" w:rsidRPr="00A73226" w:rsidRDefault="003331E5">
            <w:r>
              <w:t>-</w:t>
            </w:r>
          </w:p>
        </w:tc>
      </w:tr>
      <w:tr w:rsidR="00C90AA8" w:rsidRPr="00A73226" w14:paraId="3845DAC1" w14:textId="77777777" w:rsidTr="00C90AA8">
        <w:tc>
          <w:tcPr>
            <w:tcW w:w="1980" w:type="dxa"/>
          </w:tcPr>
          <w:p w14:paraId="3EC18C91" w14:textId="5AFFBF2B" w:rsidR="00C90AA8" w:rsidRPr="00A73226" w:rsidRDefault="00C90AA8" w:rsidP="00C90AA8">
            <w:pPr>
              <w:spacing w:after="160" w:line="259" w:lineRule="auto"/>
            </w:pPr>
            <w:r w:rsidRPr="00A73226">
              <w:t>A5 Programma Waterveiligheid en ruimte</w:t>
            </w:r>
          </w:p>
        </w:tc>
        <w:tc>
          <w:tcPr>
            <w:tcW w:w="7082" w:type="dxa"/>
          </w:tcPr>
          <w:p w14:paraId="4FDB0292" w14:textId="77777777" w:rsidR="00C90AA8" w:rsidRDefault="003331E5">
            <w:r>
              <w:t xml:space="preserve">Vanuit de drie regio’s wordt er een reactie gestuurd naar WRL. Reactie is positief opgebouwd maar proces matig valt er nog veel te winnen. </w:t>
            </w:r>
          </w:p>
          <w:p w14:paraId="12485339" w14:textId="77777777" w:rsidR="003331E5" w:rsidRDefault="003331E5">
            <w:r>
              <w:t>De brief is vanuit de samenwerking van de waterwerkregio’s gestuurd. Er zijn positieve reacties gekomen.</w:t>
            </w:r>
          </w:p>
          <w:p w14:paraId="223A7922" w14:textId="1609D54B" w:rsidR="003331E5" w:rsidRPr="00A73226" w:rsidRDefault="003331E5"/>
        </w:tc>
      </w:tr>
    </w:tbl>
    <w:p w14:paraId="0A83E4AA" w14:textId="00E8073B" w:rsidR="00AE7B2C" w:rsidRPr="00A73226" w:rsidRDefault="00AE7B2C"/>
    <w:p w14:paraId="77F93D74" w14:textId="77777777" w:rsidR="00AE7B2C" w:rsidRPr="00A73226" w:rsidRDefault="00AE7B2C"/>
    <w:tbl>
      <w:tblPr>
        <w:tblStyle w:val="Tabelraster"/>
        <w:tblW w:w="0" w:type="auto"/>
        <w:tblLook w:val="04A0" w:firstRow="1" w:lastRow="0" w:firstColumn="1" w:lastColumn="0" w:noHBand="0" w:noVBand="1"/>
      </w:tblPr>
      <w:tblGrid>
        <w:gridCol w:w="1980"/>
        <w:gridCol w:w="7082"/>
      </w:tblGrid>
      <w:tr w:rsidR="00C90AA8" w:rsidRPr="00A73226" w14:paraId="239C1B91" w14:textId="77777777" w:rsidTr="000511D5">
        <w:tc>
          <w:tcPr>
            <w:tcW w:w="9062" w:type="dxa"/>
            <w:gridSpan w:val="2"/>
          </w:tcPr>
          <w:p w14:paraId="23C783E9" w14:textId="77777777" w:rsidR="00C90AA8" w:rsidRPr="00A73226" w:rsidRDefault="00C90AA8" w:rsidP="00C90AA8">
            <w:pPr>
              <w:jc w:val="both"/>
              <w:rPr>
                <w:rFonts w:ascii="Segoe UI" w:hAnsi="Segoe UI" w:cs="Segoe UI"/>
                <w:b/>
                <w:bCs/>
              </w:rPr>
            </w:pPr>
            <w:r w:rsidRPr="00A73226">
              <w:rPr>
                <w:rFonts w:ascii="Segoe UI" w:hAnsi="Segoe UI" w:cs="Segoe UI"/>
                <w:b/>
                <w:bCs/>
              </w:rPr>
              <w:t>Bovenregionale overleggen</w:t>
            </w:r>
          </w:p>
          <w:p w14:paraId="592CB802" w14:textId="77777777" w:rsidR="00C90AA8" w:rsidRPr="00A73226" w:rsidRDefault="00C90AA8" w:rsidP="000511D5"/>
        </w:tc>
      </w:tr>
      <w:tr w:rsidR="00AE7B2C" w:rsidRPr="00A73226" w14:paraId="26BFE27D" w14:textId="77777777" w:rsidTr="000511D5">
        <w:tc>
          <w:tcPr>
            <w:tcW w:w="1980" w:type="dxa"/>
          </w:tcPr>
          <w:p w14:paraId="2FB78E6B" w14:textId="2790DA87" w:rsidR="00AE7B2C" w:rsidRPr="00A73226" w:rsidRDefault="00AE7B2C" w:rsidP="000511D5">
            <w:pPr>
              <w:spacing w:after="160" w:line="259" w:lineRule="auto"/>
            </w:pPr>
            <w:r w:rsidRPr="00A73226">
              <w:t>B1 AKAL</w:t>
            </w:r>
          </w:p>
        </w:tc>
        <w:tc>
          <w:tcPr>
            <w:tcW w:w="7082" w:type="dxa"/>
          </w:tcPr>
          <w:p w14:paraId="2FDF5B57" w14:textId="18DC518C" w:rsidR="00AE7B2C" w:rsidRPr="00A73226" w:rsidRDefault="00A73226" w:rsidP="000511D5">
            <w:r w:rsidRPr="00A73226">
              <w:t>-</w:t>
            </w:r>
          </w:p>
        </w:tc>
      </w:tr>
      <w:tr w:rsidR="00AE7B2C" w:rsidRPr="00A73226" w14:paraId="7ACD4CA2" w14:textId="77777777" w:rsidTr="000511D5">
        <w:tc>
          <w:tcPr>
            <w:tcW w:w="1980" w:type="dxa"/>
          </w:tcPr>
          <w:p w14:paraId="2A608CA2" w14:textId="18DFEA82" w:rsidR="00AE7B2C" w:rsidRPr="00A73226" w:rsidRDefault="00AE7B2C" w:rsidP="000511D5">
            <w:pPr>
              <w:spacing w:after="160" w:line="259" w:lineRule="auto"/>
            </w:pPr>
            <w:r w:rsidRPr="00A73226">
              <w:lastRenderedPageBreak/>
              <w:t>B2 BKAL</w:t>
            </w:r>
          </w:p>
        </w:tc>
        <w:tc>
          <w:tcPr>
            <w:tcW w:w="7082" w:type="dxa"/>
          </w:tcPr>
          <w:p w14:paraId="5ACB86B5" w14:textId="77777777" w:rsidR="00AE7B2C" w:rsidRDefault="00A73226" w:rsidP="000511D5">
            <w:r w:rsidRPr="00A73226">
              <w:t>Terugblik 23 maart</w:t>
            </w:r>
          </w:p>
          <w:p w14:paraId="6E227AD6" w14:textId="77777777" w:rsidR="00A73226" w:rsidRDefault="00A73226" w:rsidP="000511D5"/>
          <w:p w14:paraId="1B2C2FD7" w14:textId="77777777" w:rsidR="00A73226" w:rsidRDefault="00A73226" w:rsidP="000511D5"/>
          <w:p w14:paraId="2CF67211" w14:textId="77777777" w:rsidR="00A73226" w:rsidRDefault="00A73226" w:rsidP="000511D5"/>
          <w:p w14:paraId="0436F4DD" w14:textId="77777777" w:rsidR="00A73226" w:rsidRDefault="00A73226" w:rsidP="000511D5"/>
          <w:p w14:paraId="37381354" w14:textId="77777777" w:rsidR="00A73226" w:rsidRDefault="00A73226" w:rsidP="000511D5"/>
          <w:p w14:paraId="27737654" w14:textId="77777777" w:rsidR="00A73226" w:rsidRDefault="00A73226" w:rsidP="000511D5"/>
          <w:p w14:paraId="54FFF7AB" w14:textId="7D4A5388" w:rsidR="00A73226" w:rsidRPr="00A73226" w:rsidRDefault="00A73226" w:rsidP="000511D5"/>
        </w:tc>
      </w:tr>
      <w:tr w:rsidR="00AE7B2C" w:rsidRPr="00A73226" w14:paraId="4E8A3438" w14:textId="77777777" w:rsidTr="000511D5">
        <w:tc>
          <w:tcPr>
            <w:tcW w:w="1980" w:type="dxa"/>
          </w:tcPr>
          <w:p w14:paraId="3101EA2C" w14:textId="114ED25E" w:rsidR="00AE7B2C" w:rsidRPr="00A73226" w:rsidRDefault="00A73226" w:rsidP="000511D5">
            <w:pPr>
              <w:spacing w:after="160" w:line="259" w:lineRule="auto"/>
            </w:pPr>
            <w:r>
              <w:t>B3 AROL/BROL</w:t>
            </w:r>
          </w:p>
        </w:tc>
        <w:tc>
          <w:tcPr>
            <w:tcW w:w="7082" w:type="dxa"/>
          </w:tcPr>
          <w:p w14:paraId="4472C1EA" w14:textId="77777777" w:rsidR="00AE7B2C" w:rsidRDefault="00A73226" w:rsidP="000511D5">
            <w:r>
              <w:t>Terugblik 23 maart</w:t>
            </w:r>
            <w:r w:rsidR="003331E5">
              <w:t xml:space="preserve">, </w:t>
            </w:r>
            <w:r w:rsidR="00D11353">
              <w:t>voorafgaand heeft een overleg plaatsgevonden over de nieuwe starttijden en inhoud van de overleggen.</w:t>
            </w:r>
          </w:p>
          <w:p w14:paraId="711E7CDF" w14:textId="71A77DD8" w:rsidR="00D11353" w:rsidRDefault="00D11353" w:rsidP="000511D5">
            <w:r>
              <w:t>Er wordt een nieuw communicatie plan opgesteld.</w:t>
            </w:r>
          </w:p>
          <w:p w14:paraId="3C43B0A8" w14:textId="0C25D4B7" w:rsidR="00D11353" w:rsidRDefault="00D11353" w:rsidP="000511D5">
            <w:r>
              <w:t xml:space="preserve">Het gevraagd en ongevraagd advies geven aan WRL wordt </w:t>
            </w:r>
            <w:r w:rsidR="00FA1C45">
              <w:t>daadwerkelijk doorgevoerd.</w:t>
            </w:r>
            <w:r w:rsidR="00E20423">
              <w:t xml:space="preserve"> </w:t>
            </w:r>
            <w:r>
              <w:t xml:space="preserve">Communicatieplan </w:t>
            </w:r>
            <w:proofErr w:type="spellStart"/>
            <w:r>
              <w:t>Waterklaar</w:t>
            </w:r>
            <w:proofErr w:type="spellEnd"/>
            <w:r>
              <w:t xml:space="preserve"> wordt</w:t>
            </w:r>
            <w:r w:rsidR="00E20423">
              <w:t xml:space="preserve"> zoals besproken</w:t>
            </w:r>
            <w:r>
              <w:t xml:space="preserve"> opgenomen.</w:t>
            </w:r>
          </w:p>
          <w:p w14:paraId="3181759F" w14:textId="39A973FE" w:rsidR="00D11353" w:rsidRPr="00A73226" w:rsidRDefault="00D11353" w:rsidP="000511D5"/>
        </w:tc>
      </w:tr>
      <w:tr w:rsidR="00AE7B2C" w:rsidRPr="00A73226" w14:paraId="6B91F3D0" w14:textId="77777777" w:rsidTr="000511D5">
        <w:tc>
          <w:tcPr>
            <w:tcW w:w="1980" w:type="dxa"/>
          </w:tcPr>
          <w:p w14:paraId="270231EB" w14:textId="01D97EC9" w:rsidR="00AE7B2C" w:rsidRPr="00A73226" w:rsidRDefault="00A73226" w:rsidP="000511D5">
            <w:pPr>
              <w:spacing w:after="160" w:line="259" w:lineRule="auto"/>
            </w:pPr>
            <w:r>
              <w:t>B3 Programma Waterveiligheid en ruimte – Regionale Aktietafel</w:t>
            </w:r>
          </w:p>
        </w:tc>
        <w:tc>
          <w:tcPr>
            <w:tcW w:w="7082" w:type="dxa"/>
          </w:tcPr>
          <w:p w14:paraId="1752B2CF" w14:textId="281310E6" w:rsidR="00AE7B2C" w:rsidRDefault="00D11353" w:rsidP="000511D5">
            <w:r>
              <w:t xml:space="preserve">Karin Kremers heeft een presentatie gegeven over waterveiligheid en ruimte. </w:t>
            </w:r>
            <w:r w:rsidR="00E20423">
              <w:t>Hierin is een b</w:t>
            </w:r>
            <w:r>
              <w:t>etere samenwerking is belooft met de gemeentes. Voor het verbeteren van de communicatie tussen de gemeentes is een nieuwe vacature uitgezet.</w:t>
            </w:r>
          </w:p>
          <w:p w14:paraId="07D73D14" w14:textId="799E826E" w:rsidR="00D11353" w:rsidRDefault="00D11353" w:rsidP="000511D5">
            <w:r>
              <w:t>Marc Strookmans heeft een presentatie gegeven over het NPLG.</w:t>
            </w:r>
            <w:r w:rsidR="00E20423">
              <w:t xml:space="preserve"> </w:t>
            </w:r>
            <w:r>
              <w:t>Voldoende Zoet water is daarnaast besproken.</w:t>
            </w:r>
          </w:p>
          <w:p w14:paraId="1A41DB97" w14:textId="0D894E3D" w:rsidR="00D11353" w:rsidRPr="00A73226" w:rsidRDefault="00E20423" w:rsidP="00E20423">
            <w:r>
              <w:t>De bestuurders zien het belang in van het convenant en zien het graag voor het vast gestelde termijn van 2025 in uitvoering.</w:t>
            </w:r>
          </w:p>
        </w:tc>
      </w:tr>
      <w:tr w:rsidR="00AE7B2C" w:rsidRPr="00A73226" w14:paraId="1A4AC09D" w14:textId="77777777" w:rsidTr="000511D5">
        <w:tc>
          <w:tcPr>
            <w:tcW w:w="1980" w:type="dxa"/>
          </w:tcPr>
          <w:p w14:paraId="59436919" w14:textId="35FFDFD6" w:rsidR="00AE7B2C" w:rsidRPr="00A73226" w:rsidRDefault="00AE7B2C" w:rsidP="000511D5">
            <w:pPr>
              <w:spacing w:after="160" w:line="259" w:lineRule="auto"/>
            </w:pPr>
          </w:p>
        </w:tc>
        <w:tc>
          <w:tcPr>
            <w:tcW w:w="7082" w:type="dxa"/>
          </w:tcPr>
          <w:p w14:paraId="0A23CBB6" w14:textId="77777777" w:rsidR="00AE7B2C" w:rsidRPr="00A73226" w:rsidRDefault="00AE7B2C" w:rsidP="000511D5"/>
        </w:tc>
      </w:tr>
    </w:tbl>
    <w:p w14:paraId="4EA93B66" w14:textId="77777777" w:rsidR="00C90AA8" w:rsidRDefault="00C90AA8"/>
    <w:p w14:paraId="63D25BD2" w14:textId="77777777" w:rsidR="00E20423" w:rsidRPr="00A73226" w:rsidRDefault="00E20423"/>
    <w:tbl>
      <w:tblPr>
        <w:tblStyle w:val="Tabelraster"/>
        <w:tblW w:w="0" w:type="auto"/>
        <w:tblLook w:val="04A0" w:firstRow="1" w:lastRow="0" w:firstColumn="1" w:lastColumn="0" w:noHBand="0" w:noVBand="1"/>
      </w:tblPr>
      <w:tblGrid>
        <w:gridCol w:w="1980"/>
        <w:gridCol w:w="7082"/>
      </w:tblGrid>
      <w:tr w:rsidR="00AE7B2C" w:rsidRPr="00A73226" w14:paraId="154F6A89" w14:textId="77777777" w:rsidTr="000511D5">
        <w:tc>
          <w:tcPr>
            <w:tcW w:w="9062" w:type="dxa"/>
            <w:gridSpan w:val="2"/>
          </w:tcPr>
          <w:p w14:paraId="3FA2E8F1" w14:textId="6E1F2F97" w:rsidR="00AE7B2C" w:rsidRPr="00A73226" w:rsidRDefault="00AE7B2C" w:rsidP="000511D5">
            <w:pPr>
              <w:jc w:val="both"/>
              <w:rPr>
                <w:rFonts w:ascii="Segoe UI" w:hAnsi="Segoe UI" w:cs="Segoe UI"/>
                <w:b/>
                <w:bCs/>
              </w:rPr>
            </w:pPr>
            <w:r w:rsidRPr="00A73226">
              <w:rPr>
                <w:rFonts w:ascii="Segoe UI" w:hAnsi="Segoe UI" w:cs="Segoe UI"/>
                <w:b/>
                <w:bCs/>
              </w:rPr>
              <w:t>Actieprogramma klimaatadaptatie</w:t>
            </w:r>
          </w:p>
          <w:p w14:paraId="67CF4322" w14:textId="77777777" w:rsidR="00AE7B2C" w:rsidRPr="00A73226" w:rsidRDefault="00AE7B2C" w:rsidP="000511D5"/>
        </w:tc>
      </w:tr>
      <w:tr w:rsidR="00AE7B2C" w:rsidRPr="00A73226" w14:paraId="48B825E8" w14:textId="77777777" w:rsidTr="000511D5">
        <w:tc>
          <w:tcPr>
            <w:tcW w:w="1980" w:type="dxa"/>
          </w:tcPr>
          <w:p w14:paraId="5B1342B1" w14:textId="041BEE1E" w:rsidR="00AE7B2C" w:rsidRPr="00A73226" w:rsidRDefault="00A73226" w:rsidP="000511D5">
            <w:pPr>
              <w:spacing w:after="160" w:line="259" w:lineRule="auto"/>
            </w:pPr>
            <w:r>
              <w:t>C1 Verdiepen van de inzichten in de kwetsbaarheid per gemeente</w:t>
            </w:r>
          </w:p>
        </w:tc>
        <w:tc>
          <w:tcPr>
            <w:tcW w:w="7082" w:type="dxa"/>
          </w:tcPr>
          <w:p w14:paraId="0CF25BCB" w14:textId="18197B22" w:rsidR="00AE7B2C" w:rsidRPr="00A73226" w:rsidRDefault="00E20423" w:rsidP="000511D5">
            <w:r>
              <w:t>-</w:t>
            </w:r>
          </w:p>
        </w:tc>
      </w:tr>
      <w:tr w:rsidR="00AE7B2C" w:rsidRPr="00A73226" w14:paraId="7CC6E434" w14:textId="77777777" w:rsidTr="000511D5">
        <w:tc>
          <w:tcPr>
            <w:tcW w:w="1980" w:type="dxa"/>
          </w:tcPr>
          <w:p w14:paraId="5B9300BC" w14:textId="0CF6429C" w:rsidR="00AE7B2C" w:rsidRPr="00A73226" w:rsidRDefault="00A73226" w:rsidP="000511D5">
            <w:pPr>
              <w:spacing w:after="160" w:line="259" w:lineRule="auto"/>
            </w:pPr>
            <w:r>
              <w:t xml:space="preserve">C6 Lokale risicodialogen met </w:t>
            </w:r>
            <w:r w:rsidR="006D3C5E">
              <w:t>gemeenteraden</w:t>
            </w:r>
          </w:p>
        </w:tc>
        <w:tc>
          <w:tcPr>
            <w:tcW w:w="7082" w:type="dxa"/>
          </w:tcPr>
          <w:p w14:paraId="319002C4" w14:textId="249573C9" w:rsidR="00AE7B2C" w:rsidRPr="00A73226" w:rsidRDefault="00E20423" w:rsidP="000511D5">
            <w:r>
              <w:t>-</w:t>
            </w:r>
          </w:p>
        </w:tc>
      </w:tr>
      <w:tr w:rsidR="00AE7B2C" w:rsidRPr="00A73226" w14:paraId="7CFB8ABD" w14:textId="77777777" w:rsidTr="000511D5">
        <w:tc>
          <w:tcPr>
            <w:tcW w:w="1980" w:type="dxa"/>
          </w:tcPr>
          <w:p w14:paraId="752D9846" w14:textId="32483862" w:rsidR="00AE7B2C" w:rsidRPr="00A73226" w:rsidRDefault="00A73226" w:rsidP="000511D5">
            <w:pPr>
              <w:spacing w:after="160" w:line="259" w:lineRule="auto"/>
            </w:pPr>
            <w:r>
              <w:t xml:space="preserve">C13 Tweede aanvraag DPRA-subsidie tranché </w:t>
            </w:r>
          </w:p>
        </w:tc>
        <w:tc>
          <w:tcPr>
            <w:tcW w:w="7082" w:type="dxa"/>
          </w:tcPr>
          <w:p w14:paraId="4AB2AB24" w14:textId="77777777" w:rsidR="00AE7B2C" w:rsidRDefault="00D11353" w:rsidP="000511D5">
            <w:r>
              <w:t>6 juli aanvraag DPRA gelden bij het Rijk.</w:t>
            </w:r>
          </w:p>
          <w:p w14:paraId="71379928" w14:textId="267BE319" w:rsidR="00D11353" w:rsidRPr="00A73226" w:rsidRDefault="00D11353" w:rsidP="000511D5">
            <w:r>
              <w:t xml:space="preserve">Het overige geld voor klimaatadaptatie van de Provincie wordt ingezet voor projecten die net niet passen binnen de DPRA-Impulsregeling. Het geld kan worden ingezet voor proces gelden. Binnen de provincie is er circa. 8 ton over.  </w:t>
            </w:r>
          </w:p>
        </w:tc>
      </w:tr>
      <w:tr w:rsidR="00AE7B2C" w:rsidRPr="00A73226" w14:paraId="48F9AFB3" w14:textId="77777777" w:rsidTr="000511D5">
        <w:tc>
          <w:tcPr>
            <w:tcW w:w="1980" w:type="dxa"/>
          </w:tcPr>
          <w:p w14:paraId="59067490" w14:textId="4656AFB8" w:rsidR="00AE7B2C" w:rsidRPr="00A73226" w:rsidRDefault="006D3C5E" w:rsidP="000511D5">
            <w:pPr>
              <w:spacing w:after="160" w:line="259" w:lineRule="auto"/>
            </w:pPr>
            <w:r>
              <w:t>C Uitbreiden dienstenaanbod WoonWijzerWinkel fase 2 (klimaat bestendig wonen)</w:t>
            </w:r>
          </w:p>
        </w:tc>
        <w:tc>
          <w:tcPr>
            <w:tcW w:w="7082" w:type="dxa"/>
          </w:tcPr>
          <w:p w14:paraId="67B2948C" w14:textId="12E55B63" w:rsidR="00AE7B2C" w:rsidRPr="00A73226" w:rsidRDefault="00141E73" w:rsidP="000511D5">
            <w:r>
              <w:t xml:space="preserve">Max van Leeuwen (Waterschap Limburg) is aan de slag om versneld de uitrol van de </w:t>
            </w:r>
            <w:proofErr w:type="spellStart"/>
            <w:r>
              <w:t>WoonWijzerWinkel</w:t>
            </w:r>
            <w:proofErr w:type="spellEnd"/>
            <w:r>
              <w:t xml:space="preserve"> uit te kunnen voeren. </w:t>
            </w:r>
          </w:p>
        </w:tc>
      </w:tr>
    </w:tbl>
    <w:p w14:paraId="134B4A20" w14:textId="6F589935" w:rsidR="00C90AA8" w:rsidRPr="00A73226" w:rsidRDefault="00C90AA8"/>
    <w:tbl>
      <w:tblPr>
        <w:tblStyle w:val="Tabelraster"/>
        <w:tblW w:w="0" w:type="auto"/>
        <w:tblLook w:val="04A0" w:firstRow="1" w:lastRow="0" w:firstColumn="1" w:lastColumn="0" w:noHBand="0" w:noVBand="1"/>
      </w:tblPr>
      <w:tblGrid>
        <w:gridCol w:w="1980"/>
        <w:gridCol w:w="7082"/>
      </w:tblGrid>
      <w:tr w:rsidR="00AE7B2C" w:rsidRPr="00A73226" w14:paraId="729E2951" w14:textId="77777777" w:rsidTr="000511D5">
        <w:tc>
          <w:tcPr>
            <w:tcW w:w="9062" w:type="dxa"/>
            <w:gridSpan w:val="2"/>
          </w:tcPr>
          <w:p w14:paraId="10D12C8D" w14:textId="66A64C8A" w:rsidR="00AE7B2C" w:rsidRPr="00A73226" w:rsidRDefault="00AE7B2C" w:rsidP="000511D5">
            <w:pPr>
              <w:jc w:val="both"/>
              <w:rPr>
                <w:rFonts w:ascii="Segoe UI" w:hAnsi="Segoe UI" w:cs="Segoe UI"/>
                <w:b/>
                <w:bCs/>
              </w:rPr>
            </w:pPr>
            <w:r w:rsidRPr="00A73226">
              <w:rPr>
                <w:rFonts w:ascii="Segoe UI" w:hAnsi="Segoe UI" w:cs="Segoe UI"/>
                <w:b/>
                <w:bCs/>
              </w:rPr>
              <w:lastRenderedPageBreak/>
              <w:t>Reactie opbouwplan WRL</w:t>
            </w:r>
          </w:p>
          <w:p w14:paraId="43A6D74B" w14:textId="77777777" w:rsidR="00AE7B2C" w:rsidRPr="00A73226" w:rsidRDefault="00AE7B2C" w:rsidP="000511D5"/>
        </w:tc>
      </w:tr>
      <w:tr w:rsidR="00AE7B2C" w:rsidRPr="00A73226" w14:paraId="1E260861" w14:textId="77777777" w:rsidTr="000511D5">
        <w:tc>
          <w:tcPr>
            <w:tcW w:w="1980" w:type="dxa"/>
          </w:tcPr>
          <w:p w14:paraId="053FB905" w14:textId="77777777" w:rsidR="00AE7B2C" w:rsidRPr="00A73226" w:rsidRDefault="00AE7B2C" w:rsidP="000511D5">
            <w:pPr>
              <w:spacing w:after="160" w:line="259" w:lineRule="auto"/>
            </w:pPr>
            <w:r w:rsidRPr="00A73226">
              <w:t>A1 Algemene zaken</w:t>
            </w:r>
          </w:p>
        </w:tc>
        <w:tc>
          <w:tcPr>
            <w:tcW w:w="7082" w:type="dxa"/>
          </w:tcPr>
          <w:p w14:paraId="3B28583A" w14:textId="15CD7CEB" w:rsidR="00150FDC" w:rsidRDefault="00150FDC" w:rsidP="000511D5">
            <w:r>
              <w:t>-</w:t>
            </w:r>
          </w:p>
          <w:p w14:paraId="4EE1EC83" w14:textId="77777777" w:rsidR="0095784A" w:rsidRDefault="0095784A" w:rsidP="000511D5"/>
          <w:p w14:paraId="158E16DD" w14:textId="77777777" w:rsidR="0095784A" w:rsidRDefault="0095784A" w:rsidP="000511D5"/>
          <w:p w14:paraId="78A99E2C" w14:textId="4C3B2F30" w:rsidR="0095784A" w:rsidRPr="00A73226" w:rsidRDefault="0095784A" w:rsidP="000511D5"/>
        </w:tc>
      </w:tr>
    </w:tbl>
    <w:p w14:paraId="34FA6903" w14:textId="059B5B28" w:rsidR="00AE7B2C" w:rsidRPr="00A73226" w:rsidRDefault="00AE7B2C"/>
    <w:tbl>
      <w:tblPr>
        <w:tblStyle w:val="Tabelraster"/>
        <w:tblW w:w="0" w:type="auto"/>
        <w:tblLook w:val="04A0" w:firstRow="1" w:lastRow="0" w:firstColumn="1" w:lastColumn="0" w:noHBand="0" w:noVBand="1"/>
      </w:tblPr>
      <w:tblGrid>
        <w:gridCol w:w="1980"/>
        <w:gridCol w:w="7082"/>
      </w:tblGrid>
      <w:tr w:rsidR="00AE7B2C" w:rsidRPr="00A73226" w14:paraId="028DEF53" w14:textId="77777777" w:rsidTr="000511D5">
        <w:tc>
          <w:tcPr>
            <w:tcW w:w="9062" w:type="dxa"/>
            <w:gridSpan w:val="2"/>
          </w:tcPr>
          <w:p w14:paraId="369029C0" w14:textId="23661962" w:rsidR="00AE7B2C" w:rsidRPr="00A73226" w:rsidRDefault="00AE7B2C" w:rsidP="000511D5">
            <w:pPr>
              <w:jc w:val="both"/>
              <w:rPr>
                <w:rFonts w:ascii="Segoe UI" w:hAnsi="Segoe UI" w:cs="Segoe UI"/>
                <w:b/>
                <w:bCs/>
              </w:rPr>
            </w:pPr>
            <w:r w:rsidRPr="00A73226">
              <w:rPr>
                <w:rFonts w:ascii="Segoe UI" w:hAnsi="Segoe UI" w:cs="Segoe UI"/>
                <w:b/>
                <w:bCs/>
              </w:rPr>
              <w:t>Groenblauwe revolutie schoolpleinen Zuid-Limburg</w:t>
            </w:r>
          </w:p>
          <w:p w14:paraId="539E7F7E" w14:textId="77777777" w:rsidR="00AE7B2C" w:rsidRPr="00A73226" w:rsidRDefault="00AE7B2C" w:rsidP="000511D5"/>
        </w:tc>
      </w:tr>
      <w:tr w:rsidR="00AE7B2C" w:rsidRPr="00A73226" w14:paraId="57D934D6" w14:textId="77777777" w:rsidTr="000511D5">
        <w:tc>
          <w:tcPr>
            <w:tcW w:w="1980" w:type="dxa"/>
          </w:tcPr>
          <w:p w14:paraId="665A6A50" w14:textId="77777777" w:rsidR="00AE7B2C" w:rsidRPr="00A73226" w:rsidRDefault="00AE7B2C" w:rsidP="000511D5">
            <w:pPr>
              <w:spacing w:after="160" w:line="259" w:lineRule="auto"/>
            </w:pPr>
            <w:r w:rsidRPr="00A73226">
              <w:t>A1 Algemene zaken</w:t>
            </w:r>
          </w:p>
        </w:tc>
        <w:tc>
          <w:tcPr>
            <w:tcW w:w="7082" w:type="dxa"/>
          </w:tcPr>
          <w:p w14:paraId="6BB64E21" w14:textId="1BA8C1EF" w:rsidR="0095784A" w:rsidRDefault="00150FDC" w:rsidP="000511D5">
            <w:r>
              <w:t>-</w:t>
            </w:r>
          </w:p>
          <w:p w14:paraId="752A5DF6" w14:textId="77777777" w:rsidR="0095784A" w:rsidRDefault="0095784A" w:rsidP="000511D5"/>
          <w:p w14:paraId="08004323" w14:textId="77777777" w:rsidR="0095784A" w:rsidRDefault="0095784A" w:rsidP="000511D5"/>
          <w:p w14:paraId="35AD63C4" w14:textId="756392B6" w:rsidR="0095784A" w:rsidRPr="00A73226" w:rsidRDefault="0095784A" w:rsidP="000511D5"/>
        </w:tc>
      </w:tr>
    </w:tbl>
    <w:p w14:paraId="07C3279D" w14:textId="6553F5A3" w:rsidR="00AE7B2C" w:rsidRDefault="00AE7B2C"/>
    <w:p w14:paraId="61035756" w14:textId="583A7860" w:rsidR="003331E5" w:rsidRDefault="003331E5"/>
    <w:p w14:paraId="5628D78F" w14:textId="77777777" w:rsidR="003331E5" w:rsidRPr="00A73226" w:rsidRDefault="003331E5"/>
    <w:tbl>
      <w:tblPr>
        <w:tblStyle w:val="Tabelraster"/>
        <w:tblW w:w="0" w:type="auto"/>
        <w:tblLook w:val="04A0" w:firstRow="1" w:lastRow="0" w:firstColumn="1" w:lastColumn="0" w:noHBand="0" w:noVBand="1"/>
      </w:tblPr>
      <w:tblGrid>
        <w:gridCol w:w="1980"/>
        <w:gridCol w:w="7082"/>
      </w:tblGrid>
      <w:tr w:rsidR="00A73226" w:rsidRPr="00A73226" w14:paraId="107923EA" w14:textId="77777777" w:rsidTr="000511D5">
        <w:tc>
          <w:tcPr>
            <w:tcW w:w="9062" w:type="dxa"/>
            <w:gridSpan w:val="2"/>
          </w:tcPr>
          <w:p w14:paraId="2670E8CD" w14:textId="2A97B3E0" w:rsidR="00A73226" w:rsidRPr="00A73226" w:rsidRDefault="00A73226" w:rsidP="000511D5">
            <w:pPr>
              <w:jc w:val="both"/>
              <w:rPr>
                <w:rFonts w:ascii="Segoe UI" w:hAnsi="Segoe UI" w:cs="Segoe UI"/>
                <w:b/>
                <w:bCs/>
              </w:rPr>
            </w:pPr>
            <w:r w:rsidRPr="00A73226">
              <w:rPr>
                <w:rFonts w:ascii="Segoe UI" w:hAnsi="Segoe UI" w:cs="Segoe UI"/>
                <w:b/>
                <w:bCs/>
              </w:rPr>
              <w:t>Presentatie proces risico dialogen</w:t>
            </w:r>
          </w:p>
          <w:p w14:paraId="549FC5EE" w14:textId="77777777" w:rsidR="00A73226" w:rsidRPr="00A73226" w:rsidRDefault="00A73226" w:rsidP="000511D5"/>
        </w:tc>
      </w:tr>
      <w:tr w:rsidR="00A73226" w:rsidRPr="00A73226" w14:paraId="6EC6E5A4" w14:textId="77777777" w:rsidTr="000511D5">
        <w:tc>
          <w:tcPr>
            <w:tcW w:w="1980" w:type="dxa"/>
          </w:tcPr>
          <w:p w14:paraId="1263836E" w14:textId="77777777" w:rsidR="00A73226" w:rsidRPr="00A73226" w:rsidRDefault="00A73226" w:rsidP="000511D5">
            <w:pPr>
              <w:spacing w:after="160" w:line="259" w:lineRule="auto"/>
            </w:pPr>
            <w:r w:rsidRPr="00A73226">
              <w:t>A1 Algemene zaken</w:t>
            </w:r>
          </w:p>
        </w:tc>
        <w:tc>
          <w:tcPr>
            <w:tcW w:w="7082" w:type="dxa"/>
          </w:tcPr>
          <w:p w14:paraId="46EB6367" w14:textId="32226B95" w:rsidR="00A73226" w:rsidRDefault="003331E5" w:rsidP="000511D5">
            <w:r>
              <w:t xml:space="preserve">Kernteam wordt </w:t>
            </w:r>
            <w:r w:rsidR="0095784A">
              <w:t>geïnformeerd</w:t>
            </w:r>
            <w:r>
              <w:t xml:space="preserve"> over het bestuurlijk overbrengen van de informatie</w:t>
            </w:r>
            <w:r w:rsidR="0095784A">
              <w:t xml:space="preserve">. </w:t>
            </w:r>
          </w:p>
          <w:p w14:paraId="6D860912" w14:textId="256FC9A5" w:rsidR="0095784A" w:rsidRDefault="0095784A" w:rsidP="000511D5"/>
          <w:p w14:paraId="4C978752" w14:textId="10B5E0D0" w:rsidR="009F73FF" w:rsidRDefault="00432727" w:rsidP="00432727">
            <w:r>
              <w:t>Door de diversiteit van alle opgaves is het de vraag of er binnen de gemeenten genoeg kennis aanwezig is om zorgvuldig invulling te geven op de inhoud van de opgaves. Wanneer er niet voldoende kennis/</w:t>
            </w:r>
            <w:r w:rsidR="00443C55">
              <w:t>capaciteit</w:t>
            </w:r>
            <w:r>
              <w:t xml:space="preserve"> is kunnen bestuurders moeilijk op de hoogte worden gebracht. </w:t>
            </w:r>
          </w:p>
          <w:p w14:paraId="6E0301E5" w14:textId="046CAEEC" w:rsidR="009F73FF" w:rsidRDefault="009F73FF" w:rsidP="000511D5"/>
          <w:p w14:paraId="3B51C3C5" w14:textId="77777777" w:rsidR="00443C55" w:rsidRDefault="00443C55" w:rsidP="000511D5"/>
          <w:p w14:paraId="48A71422" w14:textId="2C7E5392" w:rsidR="009F73FF" w:rsidRDefault="009F73FF" w:rsidP="000511D5">
            <w:r>
              <w:t xml:space="preserve">Schuurpunten: </w:t>
            </w:r>
            <w:r w:rsidR="00432727">
              <w:t xml:space="preserve">Door de verschillende plannen, omgevingsvisies, doelstelling en opgave zijn er naast </w:t>
            </w:r>
            <w:r w:rsidR="00244235">
              <w:t>de</w:t>
            </w:r>
            <w:r w:rsidR="00432727">
              <w:t xml:space="preserve"> overlap</w:t>
            </w:r>
            <w:r w:rsidR="00244235">
              <w:t>pingen van</w:t>
            </w:r>
            <w:r w:rsidR="00432727">
              <w:t xml:space="preserve"> </w:t>
            </w:r>
            <w:r w:rsidR="00244235">
              <w:t>de</w:t>
            </w:r>
            <w:r w:rsidR="00432727">
              <w:t xml:space="preserve"> ambities o</w:t>
            </w:r>
            <w:r w:rsidR="00244235">
              <w:t xml:space="preserve">ok knelpunten die elkaar tegenspreken. </w:t>
            </w:r>
            <w:r>
              <w:t xml:space="preserve">Voornamelijk binnen Panorama Zuid-Limburg zijn er knelpunten tussen de ambities en doelen. </w:t>
            </w:r>
          </w:p>
          <w:p w14:paraId="29E4C18E" w14:textId="034783FF" w:rsidR="009F73FF" w:rsidRDefault="00244235" w:rsidP="000511D5">
            <w:r>
              <w:t xml:space="preserve">In het document dat is opgeleverd uit Panorama Zuid-Limburg is er een helder beeld geschetst van de ambities en doelen. </w:t>
            </w:r>
            <w:r w:rsidR="009F73FF">
              <w:t xml:space="preserve">De illustratie </w:t>
            </w:r>
            <w:r>
              <w:t xml:space="preserve">ondersteunen goed wat de opgave is en waar aan gewerkt gaat worden. </w:t>
            </w:r>
          </w:p>
          <w:p w14:paraId="173974B7" w14:textId="77777777" w:rsidR="00244235" w:rsidRDefault="00244235" w:rsidP="00244235">
            <w:r>
              <w:t>Vanuit het programma gaat het landelijk gebied op slot, de vraag is of alle ruimtelijke opgaves ingevuld kunnen worden.</w:t>
            </w:r>
          </w:p>
          <w:p w14:paraId="26710F7D" w14:textId="66F2E91C" w:rsidR="00244235" w:rsidRDefault="00244235" w:rsidP="00244235">
            <w:r>
              <w:t>De opgaves kunnen niet volledig worden ingevuld in de gebieden waar het nog mogelijk is om te bouwen. De woningopgave, stikstopgave, klimaatadaptatie spelen in op het de ruimte vraag.</w:t>
            </w:r>
          </w:p>
          <w:p w14:paraId="4D9B8C1B" w14:textId="0195B2A4" w:rsidR="009F73FF" w:rsidRDefault="00244235" w:rsidP="00244235">
            <w:r>
              <w:t xml:space="preserve">Een ander voorbeeld van een opgaves die haaks staat op het verhaal van Panorama Zuid-Limburg is de energie strategie. </w:t>
            </w:r>
          </w:p>
          <w:p w14:paraId="7F19B44A" w14:textId="1826831B" w:rsidR="007C1445" w:rsidRDefault="007C1445" w:rsidP="000511D5"/>
          <w:p w14:paraId="18805EFB" w14:textId="0FC87131" w:rsidR="007C1445" w:rsidRDefault="007C1445" w:rsidP="000511D5"/>
          <w:p w14:paraId="014018C6" w14:textId="30AEE040" w:rsidR="007C1445" w:rsidRDefault="00CB2B46" w:rsidP="00CB2B46">
            <w:r>
              <w:t>De ruimtelijke vraagstukken zijn met elkaar verbonden,</w:t>
            </w:r>
            <w:r w:rsidR="007C1445">
              <w:t xml:space="preserve"> zeker op het gebied van water en bodem. Als je de mogelijkheid hebt om de bodem of het water te herstellen moet je deze kansen zeker meenemen. </w:t>
            </w:r>
            <w:r>
              <w:t>Daarnaast zijn k</w:t>
            </w:r>
            <w:r w:rsidR="007C1445">
              <w:t xml:space="preserve">ansen zoals hitte en wateroverlast </w:t>
            </w:r>
            <w:r>
              <w:t xml:space="preserve">zeker de moeite waard om </w:t>
            </w:r>
            <w:r w:rsidR="007C1445">
              <w:t>mee</w:t>
            </w:r>
            <w:r>
              <w:t xml:space="preserve"> te </w:t>
            </w:r>
            <w:r w:rsidR="007C1445">
              <w:t>nemen.</w:t>
            </w:r>
          </w:p>
          <w:p w14:paraId="3B691401" w14:textId="77777777" w:rsidR="00CB2B46" w:rsidRDefault="00CB2B46" w:rsidP="00CB2B46"/>
          <w:p w14:paraId="02790095" w14:textId="3A9150BF" w:rsidR="007C1445" w:rsidRDefault="007C1445" w:rsidP="000511D5">
            <w:r>
              <w:lastRenderedPageBreak/>
              <w:t xml:space="preserve">Voor iedere gemeente komt er een ander vraagstuk sterker naar voor (wateroverlast, droogte of hittestress). </w:t>
            </w:r>
            <w:r w:rsidR="00CB2B46">
              <w:t>Het is van belang dat hierop wordt ingespeeld.</w:t>
            </w:r>
          </w:p>
          <w:p w14:paraId="365A6BD8" w14:textId="7126330E" w:rsidR="007C1445" w:rsidRDefault="007C1445" w:rsidP="000511D5">
            <w:r>
              <w:t xml:space="preserve">Door de ruimtelijke opgave aan te pakken vanuit de lagen benadering kan het gebied </w:t>
            </w:r>
            <w:r w:rsidR="00B84CE6">
              <w:t>beter worden her bestemd.</w:t>
            </w:r>
          </w:p>
          <w:p w14:paraId="013ADF01" w14:textId="77777777" w:rsidR="00B84CE6" w:rsidRDefault="00B84CE6" w:rsidP="000511D5"/>
          <w:p w14:paraId="2D294EF8" w14:textId="77777777" w:rsidR="00443C55" w:rsidRDefault="00443C55" w:rsidP="000511D5"/>
          <w:p w14:paraId="172A517F" w14:textId="538052B7" w:rsidR="007C1445" w:rsidRDefault="00B84CE6" w:rsidP="000511D5">
            <w:r>
              <w:t xml:space="preserve">De risico dialogen: </w:t>
            </w:r>
            <w:r w:rsidR="00CB2B46">
              <w:t xml:space="preserve">Uit ervaring is gebleken dat </w:t>
            </w:r>
            <w:r>
              <w:t>de bijeenkomsten werken als kennis bijeenkomst</w:t>
            </w:r>
            <w:r w:rsidR="00CB2B46">
              <w:t>, waarbij met name input wordt verzameld</w:t>
            </w:r>
            <w:r>
              <w:t>. Door deze stap wordt een groot deel van de vragen beantwoord doordat er antwoord komt op wat moet worden gedaan.</w:t>
            </w:r>
            <w:r w:rsidR="00CB2B46">
              <w:t xml:space="preserve"> Het knelpunt van deze kennissessies is dat de opgehaalde kennis zwaar wordt meegenomen. Wanneer iemand vanuit zij/haar rol veel input levert overschaduwt dit mogelijk grotere kwetsbaarheden, doordat er met een lens op detailniveau naar enkele problemen wordt gekeken.</w:t>
            </w:r>
            <w:r w:rsidR="00CB411A">
              <w:t xml:space="preserve"> </w:t>
            </w:r>
          </w:p>
          <w:p w14:paraId="5C3A1535" w14:textId="3B4C7E27" w:rsidR="00B84CE6" w:rsidRDefault="00B84CE6" w:rsidP="000511D5"/>
          <w:p w14:paraId="0090673A" w14:textId="77777777" w:rsidR="00B84CE6" w:rsidRDefault="00B84CE6" w:rsidP="000511D5"/>
          <w:p w14:paraId="341897C3" w14:textId="28874A4E" w:rsidR="007C1445" w:rsidRDefault="00CB411A" w:rsidP="000511D5">
            <w:r>
              <w:t>Opgaves</w:t>
            </w:r>
            <w:r w:rsidR="006C060A">
              <w:t xml:space="preserve">: </w:t>
            </w:r>
            <w:r>
              <w:t>Aangezien er veel opgaves zijn kan er verwarring ontstaan voor een gemeenten raad. I</w:t>
            </w:r>
            <w:r w:rsidR="007C1445">
              <w:t>s</w:t>
            </w:r>
            <w:r>
              <w:t xml:space="preserve"> er</w:t>
            </w:r>
            <w:r w:rsidR="007C1445">
              <w:t xml:space="preserve"> te veel water, te weinig water </w:t>
            </w:r>
            <w:r>
              <w:t xml:space="preserve">is </w:t>
            </w:r>
            <w:r w:rsidR="007C1445">
              <w:t>het water niet schoon genoeg.</w:t>
            </w:r>
            <w:r>
              <w:t xml:space="preserve"> Voor de </w:t>
            </w:r>
            <w:r w:rsidR="0092232C">
              <w:t>gemeenteraden</w:t>
            </w:r>
            <w:r>
              <w:t xml:space="preserve"> is het van belang om op de hoogte te zijn van de opgave. Het is daarnaast van belang dat ze niet worden overspoeld door te veel verdiepende informatie. </w:t>
            </w:r>
          </w:p>
          <w:p w14:paraId="7115B02C" w14:textId="77777777" w:rsidR="007C1445" w:rsidRDefault="007C1445" w:rsidP="000511D5"/>
          <w:p w14:paraId="1AB88894" w14:textId="345C64AB" w:rsidR="004449FC" w:rsidRDefault="004449FC" w:rsidP="000511D5"/>
          <w:p w14:paraId="11AA4ECE" w14:textId="0801926D" w:rsidR="0092232C" w:rsidRDefault="0092232C" w:rsidP="000511D5">
            <w:r>
              <w:t xml:space="preserve">Thema droogte: Binnen de droogte opgave is het van belang dat er voldoende water zich in de bodem bevindt. Aan de hand van een aantal modellen is er gerekend aan de droogte problematiek. </w:t>
            </w:r>
          </w:p>
          <w:p w14:paraId="38B6EEF7" w14:textId="684F6810" w:rsidR="004449FC" w:rsidRDefault="0092232C" w:rsidP="000511D5">
            <w:r>
              <w:t>Een van de scenario’s die binnen Parkstad is bekeken betreft</w:t>
            </w:r>
            <w:r w:rsidR="004449FC">
              <w:t xml:space="preserve"> het volledig afkoppelen en infiltreren in het stedelijk gebied.</w:t>
            </w:r>
          </w:p>
          <w:p w14:paraId="4249BDD3" w14:textId="220416DB" w:rsidR="004449FC" w:rsidRDefault="004449FC" w:rsidP="000511D5"/>
          <w:p w14:paraId="0BC6FA8C" w14:textId="77777777" w:rsidR="00443C55" w:rsidRDefault="00443C55" w:rsidP="000511D5"/>
          <w:p w14:paraId="31693361" w14:textId="1507D6C8" w:rsidR="004449FC" w:rsidRDefault="004449FC" w:rsidP="000511D5">
            <w:r>
              <w:t>De verdrogingsproblematiek</w:t>
            </w:r>
            <w:r w:rsidR="006C060A">
              <w:t xml:space="preserve">: </w:t>
            </w:r>
            <w:r w:rsidR="00E243FB">
              <w:t>Binnen Parkstad is er een opgave waar rekening mee moet worden gehouden. In het gebied bevinden zich er mijngangen/drempels</w:t>
            </w:r>
            <w:r w:rsidR="00E243FB" w:rsidRPr="00E243FB">
              <w:rPr>
                <w:b/>
                <w:bCs/>
              </w:rPr>
              <w:t xml:space="preserve"> </w:t>
            </w:r>
            <w:r w:rsidR="00E243FB">
              <w:rPr>
                <w:b/>
                <w:bCs/>
              </w:rPr>
              <w:t>(</w:t>
            </w:r>
            <w:r w:rsidR="00E243FB" w:rsidRPr="00E243FB">
              <w:rPr>
                <w:b/>
                <w:bCs/>
              </w:rPr>
              <w:t>Mijndrempels zijn de overgangen tussen risicozones (concessies</w:t>
            </w:r>
            <w:r w:rsidR="00E243FB">
              <w:rPr>
                <w:b/>
                <w:bCs/>
              </w:rPr>
              <w:t>))</w:t>
            </w:r>
            <w:r w:rsidR="00E243FB">
              <w:t xml:space="preserve">, hierdoor kan </w:t>
            </w:r>
            <w:r>
              <w:t>diepte infiltratie kan niet zomaar worden toegepast.</w:t>
            </w:r>
          </w:p>
          <w:p w14:paraId="13AB2658" w14:textId="77777777" w:rsidR="00E243FB" w:rsidRDefault="004449FC" w:rsidP="00E243FB">
            <w:r>
              <w:t>Mijn</w:t>
            </w:r>
            <w:r w:rsidR="00A34637">
              <w:t>drempels zijn</w:t>
            </w:r>
            <w:r>
              <w:t xml:space="preserve"> </w:t>
            </w:r>
            <w:r w:rsidR="00E243FB">
              <w:t xml:space="preserve">voor een groot deel te zien </w:t>
            </w:r>
            <w:r>
              <w:t>in het gegevenshuis.</w:t>
            </w:r>
            <w:r w:rsidR="00A34637">
              <w:t xml:space="preserve"> </w:t>
            </w:r>
            <w:r w:rsidR="00E243FB">
              <w:t xml:space="preserve">Ontwikkelingen in/rondom die soort gebieden graven daardoor tot </w:t>
            </w:r>
            <w:r w:rsidR="00A34637">
              <w:t xml:space="preserve">een concessiegebied. </w:t>
            </w:r>
          </w:p>
          <w:p w14:paraId="54436E03" w14:textId="77D2F900" w:rsidR="004449FC" w:rsidRDefault="004449FC" w:rsidP="00E243FB">
            <w:r>
              <w:t>Vanuit het kennisinstituut mijnbouw is adviesgevraagd</w:t>
            </w:r>
            <w:r w:rsidR="00E243FB">
              <w:t>, om beter om te kunnen gaan met de kwetsbaarheden en de ruimtelijke opgaves in het gebied.</w:t>
            </w:r>
          </w:p>
          <w:p w14:paraId="25A7F516" w14:textId="0732C838" w:rsidR="00A34637" w:rsidRDefault="00A34637" w:rsidP="000511D5"/>
          <w:p w14:paraId="08D77649" w14:textId="77777777" w:rsidR="000A5A3B" w:rsidRDefault="000A5A3B" w:rsidP="000511D5"/>
          <w:p w14:paraId="7EA189FB" w14:textId="464C2BE9" w:rsidR="00A34637" w:rsidRDefault="00A34637" w:rsidP="000511D5">
            <w:r>
              <w:t>Voorkeurstabel afkoppel</w:t>
            </w:r>
            <w:r w:rsidR="00E243FB">
              <w:t xml:space="preserve">: Wanneer een individu wil afkoppelen moet hij/zij diverse stappen doorlopen en verstand hebben van de inhoud. Door de opgave te kooppelen aan GIS data kan het proces </w:t>
            </w:r>
            <w:r>
              <w:t>geautomatiseerde</w:t>
            </w:r>
            <w:r w:rsidR="00E243FB">
              <w:t xml:space="preserve"> worden. Zo kan iemand zelfstandig zien of een gebied in aanmerking komt of dat het gebied niet in aanmerking komt. </w:t>
            </w:r>
          </w:p>
          <w:p w14:paraId="62185443" w14:textId="77777777" w:rsidR="003331E5" w:rsidRDefault="003331E5" w:rsidP="000511D5"/>
          <w:p w14:paraId="2288CE52" w14:textId="77777777" w:rsidR="00443C55" w:rsidRDefault="00443C55" w:rsidP="000511D5"/>
          <w:p w14:paraId="6A71CBE8" w14:textId="77777777" w:rsidR="006C060A" w:rsidRDefault="00365914" w:rsidP="006C060A">
            <w:r>
              <w:lastRenderedPageBreak/>
              <w:t xml:space="preserve">VNG: uit het magazine staat een onderdeel over klimaatadaptatie. </w:t>
            </w:r>
            <w:r w:rsidR="00E243FB">
              <w:t>Een artikel gaat in op de manier waarop gemeent</w:t>
            </w:r>
            <w:r w:rsidR="00387690">
              <w:t>e</w:t>
            </w:r>
            <w:r w:rsidR="00E243FB">
              <w:t xml:space="preserve"> Utrecht omgaat met hittestress. </w:t>
            </w:r>
            <w:r w:rsidR="006C060A">
              <w:t>Binnen de Randstad gaat een artikel in over de manier waarmee op wateroverlast wordt omgegaan.</w:t>
            </w:r>
            <w:r>
              <w:t xml:space="preserve"> </w:t>
            </w:r>
          </w:p>
          <w:p w14:paraId="1A39C6B8" w14:textId="77777777" w:rsidR="006C060A" w:rsidRDefault="006C060A" w:rsidP="006C060A"/>
          <w:p w14:paraId="7B29C77D" w14:textId="77777777" w:rsidR="00443C55" w:rsidRDefault="00443C55" w:rsidP="006C060A"/>
          <w:p w14:paraId="3502AC22" w14:textId="6160F2BE" w:rsidR="00365914" w:rsidRDefault="006C060A" w:rsidP="000511D5">
            <w:r>
              <w:t xml:space="preserve">Publiciteit: </w:t>
            </w:r>
            <w:r w:rsidR="00365914">
              <w:t xml:space="preserve">Het slimmer verwoorden van de </w:t>
            </w:r>
            <w:r w:rsidR="007A664E">
              <w:t>issues</w:t>
            </w:r>
            <w:r w:rsidR="00365914">
              <w:t xml:space="preserve"> zorgt voor een groter draagvalk binnen de gemeenschap.</w:t>
            </w:r>
            <w:r>
              <w:t xml:space="preserve"> </w:t>
            </w:r>
            <w:r w:rsidR="00365914">
              <w:t xml:space="preserve">Door doelstapeling te combineren </w:t>
            </w:r>
            <w:r>
              <w:t>en op nieuwe manieren te</w:t>
            </w:r>
            <w:r w:rsidR="00365914">
              <w:t xml:space="preserve"> framing </w:t>
            </w:r>
            <w:r>
              <w:t xml:space="preserve">wordt er een </w:t>
            </w:r>
            <w:r w:rsidR="00365914">
              <w:t>breder draagvlak</w:t>
            </w:r>
            <w:r>
              <w:t xml:space="preserve"> gecreëerd</w:t>
            </w:r>
            <w:r w:rsidR="00365914">
              <w:t>.</w:t>
            </w:r>
          </w:p>
          <w:p w14:paraId="56B7DE78" w14:textId="77777777" w:rsidR="003331E5" w:rsidRDefault="003331E5" w:rsidP="000511D5"/>
          <w:p w14:paraId="7FE7665B" w14:textId="77777777" w:rsidR="003331E5" w:rsidRDefault="003331E5" w:rsidP="000511D5"/>
          <w:p w14:paraId="43B13792" w14:textId="77777777" w:rsidR="003331E5" w:rsidRDefault="003331E5" w:rsidP="000511D5"/>
          <w:p w14:paraId="0EB5C803" w14:textId="6B4EA8DE" w:rsidR="003331E5" w:rsidRPr="00A73226" w:rsidRDefault="003331E5" w:rsidP="000511D5"/>
        </w:tc>
      </w:tr>
    </w:tbl>
    <w:p w14:paraId="4C2E4744" w14:textId="5CE1CD08" w:rsidR="00A73226" w:rsidRDefault="00A73226"/>
    <w:tbl>
      <w:tblPr>
        <w:tblStyle w:val="Tabelraster"/>
        <w:tblW w:w="0" w:type="auto"/>
        <w:tblLook w:val="04A0" w:firstRow="1" w:lastRow="0" w:firstColumn="1" w:lastColumn="0" w:noHBand="0" w:noVBand="1"/>
      </w:tblPr>
      <w:tblGrid>
        <w:gridCol w:w="1980"/>
        <w:gridCol w:w="7082"/>
      </w:tblGrid>
      <w:tr w:rsidR="006C060A" w14:paraId="16CD18C1" w14:textId="77777777" w:rsidTr="006C060A">
        <w:tc>
          <w:tcPr>
            <w:tcW w:w="9062" w:type="dxa"/>
            <w:gridSpan w:val="2"/>
          </w:tcPr>
          <w:p w14:paraId="431EFC98" w14:textId="416BD539" w:rsidR="006C060A" w:rsidRPr="006C060A" w:rsidRDefault="006C060A" w:rsidP="00671780">
            <w:pPr>
              <w:rPr>
                <w:b/>
                <w:bCs/>
              </w:rPr>
            </w:pPr>
            <w:r w:rsidRPr="006C060A">
              <w:rPr>
                <w:b/>
                <w:bCs/>
              </w:rPr>
              <w:t>Vervolgproces</w:t>
            </w:r>
          </w:p>
        </w:tc>
      </w:tr>
      <w:tr w:rsidR="006C060A" w14:paraId="495AEE9F" w14:textId="77777777" w:rsidTr="006C060A">
        <w:tc>
          <w:tcPr>
            <w:tcW w:w="1980" w:type="dxa"/>
          </w:tcPr>
          <w:p w14:paraId="7B06A472" w14:textId="0F22B44E" w:rsidR="006C060A" w:rsidRDefault="006C060A"/>
        </w:tc>
        <w:tc>
          <w:tcPr>
            <w:tcW w:w="7082" w:type="dxa"/>
          </w:tcPr>
          <w:p w14:paraId="4E7AC1D0" w14:textId="77777777" w:rsidR="006C060A" w:rsidRDefault="006C060A">
            <w:r>
              <w:t>Op 17 mei volgt er geen kernteam, hiervoor in de plaats wordt een extra werksessie georganiseerd (eventueel met SWECO).</w:t>
            </w:r>
          </w:p>
          <w:p w14:paraId="069035FB" w14:textId="77777777" w:rsidR="006C060A" w:rsidRDefault="006C060A">
            <w:r>
              <w:t>Nancy kan op deze datum niet aanwezig zijn.</w:t>
            </w:r>
          </w:p>
          <w:p w14:paraId="2F3F9121" w14:textId="77777777" w:rsidR="006C060A" w:rsidRDefault="006C060A"/>
          <w:p w14:paraId="48DFB621" w14:textId="0CD7009F" w:rsidR="00443C55" w:rsidRDefault="00443C55"/>
        </w:tc>
      </w:tr>
    </w:tbl>
    <w:p w14:paraId="62D4B832" w14:textId="15AB3241" w:rsidR="00A34637" w:rsidRDefault="00A34637"/>
    <w:p w14:paraId="0A5EAB8F" w14:textId="77777777" w:rsidR="00365914" w:rsidRPr="00A73226" w:rsidRDefault="00365914"/>
    <w:sectPr w:rsidR="00365914" w:rsidRPr="00A7322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8BEB" w14:textId="77777777" w:rsidR="00023955" w:rsidRDefault="00023955" w:rsidP="00AE7B2C">
      <w:pPr>
        <w:spacing w:after="0" w:line="240" w:lineRule="auto"/>
      </w:pPr>
      <w:r>
        <w:separator/>
      </w:r>
    </w:p>
  </w:endnote>
  <w:endnote w:type="continuationSeparator" w:id="0">
    <w:p w14:paraId="7C0765F1" w14:textId="77777777" w:rsidR="00023955" w:rsidRDefault="00023955" w:rsidP="00AE7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3503" w14:textId="77777777" w:rsidR="00023955" w:rsidRDefault="00023955" w:rsidP="00AE7B2C">
      <w:pPr>
        <w:spacing w:after="0" w:line="240" w:lineRule="auto"/>
      </w:pPr>
      <w:r>
        <w:separator/>
      </w:r>
    </w:p>
  </w:footnote>
  <w:footnote w:type="continuationSeparator" w:id="0">
    <w:p w14:paraId="5115B725" w14:textId="77777777" w:rsidR="00023955" w:rsidRDefault="00023955" w:rsidP="00AE7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EE87" w14:textId="60498B18" w:rsidR="00AE7B2C" w:rsidRDefault="00AE7B2C">
    <w:pPr>
      <w:pStyle w:val="Koptekst"/>
    </w:pPr>
    <w:r>
      <w:rPr>
        <w:noProof/>
      </w:rPr>
      <w:drawing>
        <wp:anchor distT="0" distB="0" distL="114300" distR="114300" simplePos="0" relativeHeight="251658240" behindDoc="0" locked="0" layoutInCell="1" allowOverlap="1" wp14:anchorId="6AEBB7DE" wp14:editId="11C10910">
          <wp:simplePos x="0" y="0"/>
          <wp:positionH relativeFrom="margin">
            <wp:align>right</wp:align>
          </wp:positionH>
          <wp:positionV relativeFrom="paragraph">
            <wp:posOffset>-220980</wp:posOffset>
          </wp:positionV>
          <wp:extent cx="916940" cy="666750"/>
          <wp:effectExtent l="0" t="0" r="0" b="0"/>
          <wp:wrapSquare wrapText="bothSides"/>
          <wp:docPr id="4460199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D3C45"/>
    <w:multiLevelType w:val="hybridMultilevel"/>
    <w:tmpl w:val="B16613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DC64AE"/>
    <w:multiLevelType w:val="hybridMultilevel"/>
    <w:tmpl w:val="5BD21E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7037816">
    <w:abstractNumId w:val="0"/>
  </w:num>
  <w:num w:numId="2" w16cid:durableId="21662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A8"/>
    <w:rsid w:val="00000775"/>
    <w:rsid w:val="00023955"/>
    <w:rsid w:val="000A5A3B"/>
    <w:rsid w:val="000A5FEF"/>
    <w:rsid w:val="00141E73"/>
    <w:rsid w:val="00150FDC"/>
    <w:rsid w:val="00244235"/>
    <w:rsid w:val="003331E5"/>
    <w:rsid w:val="00365914"/>
    <w:rsid w:val="00387690"/>
    <w:rsid w:val="00432727"/>
    <w:rsid w:val="00443C55"/>
    <w:rsid w:val="004449FC"/>
    <w:rsid w:val="004B29FB"/>
    <w:rsid w:val="006C060A"/>
    <w:rsid w:val="006D3C5E"/>
    <w:rsid w:val="007A664E"/>
    <w:rsid w:val="007C1445"/>
    <w:rsid w:val="0092232C"/>
    <w:rsid w:val="0095784A"/>
    <w:rsid w:val="009F73FF"/>
    <w:rsid w:val="00A34637"/>
    <w:rsid w:val="00A73226"/>
    <w:rsid w:val="00AE7B2C"/>
    <w:rsid w:val="00B15CFA"/>
    <w:rsid w:val="00B84CE6"/>
    <w:rsid w:val="00C90AA8"/>
    <w:rsid w:val="00CB2B46"/>
    <w:rsid w:val="00CB411A"/>
    <w:rsid w:val="00CD6142"/>
    <w:rsid w:val="00D11353"/>
    <w:rsid w:val="00E20423"/>
    <w:rsid w:val="00E243FB"/>
    <w:rsid w:val="00F144B7"/>
    <w:rsid w:val="00FA1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6DF88"/>
  <w15:chartTrackingRefBased/>
  <w15:docId w15:val="{A140A4C4-EE64-4DB2-858F-40C2237C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3226"/>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0AA8"/>
    <w:pPr>
      <w:ind w:left="720"/>
      <w:contextualSpacing/>
    </w:pPr>
  </w:style>
  <w:style w:type="table" w:styleId="Tabelraster">
    <w:name w:val="Table Grid"/>
    <w:basedOn w:val="Standaardtabel"/>
    <w:uiPriority w:val="39"/>
    <w:rsid w:val="00C90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E7B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7B2C"/>
    <w:rPr>
      <w:kern w:val="0"/>
      <w14:ligatures w14:val="none"/>
    </w:rPr>
  </w:style>
  <w:style w:type="paragraph" w:styleId="Voettekst">
    <w:name w:val="footer"/>
    <w:basedOn w:val="Standaard"/>
    <w:link w:val="VoettekstChar"/>
    <w:uiPriority w:val="99"/>
    <w:unhideWhenUsed/>
    <w:rsid w:val="00AE7B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7B2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1128</Words>
  <Characters>6205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Alma - Consul Infra</dc:creator>
  <cp:keywords/>
  <dc:description/>
  <cp:lastModifiedBy>Thijs Alma - Consul Infra</cp:lastModifiedBy>
  <cp:revision>5</cp:revision>
  <dcterms:created xsi:type="dcterms:W3CDTF">2023-04-17T10:54:00Z</dcterms:created>
  <dcterms:modified xsi:type="dcterms:W3CDTF">2023-04-21T09:42:00Z</dcterms:modified>
</cp:coreProperties>
</file>